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                                  </w:t>
      </w:r>
      <w:r>
        <w:rPr>
          <w:rFonts w:eastAsia="宋体" w:cs="Arial"/>
          <w:sz w:val="24"/>
          <w:szCs w:val="24"/>
          <w:lang w:eastAsia="zh-CN"/>
        </w:rPr>
        <w:t>R4-2</w:t>
      </w:r>
      <w:r>
        <w:rPr>
          <w:rFonts w:hint="eastAsia" w:eastAsia="宋体" w:cs="Arial"/>
          <w:sz w:val="24"/>
          <w:szCs w:val="24"/>
          <w:lang w:val="en-US" w:eastAsia="zh-CN"/>
        </w:rPr>
        <w:t>511025</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eastAsia="宋体" w:cs="Arial"/>
          <w:sz w:val="24"/>
          <w:szCs w:val="24"/>
          <w:lang w:val="en-US" w:eastAsia="zh-CN"/>
        </w:rPr>
        <w:t>Bangalore</w:t>
      </w:r>
      <w:r>
        <w:rPr>
          <w:rFonts w:hint="eastAsia" w:eastAsia="宋体" w:cs="Arial"/>
          <w:sz w:val="24"/>
          <w:szCs w:val="24"/>
          <w:lang w:eastAsia="zh-CN"/>
        </w:rPr>
        <w:t>,</w:t>
      </w:r>
      <w:r>
        <w:rPr>
          <w:rFonts w:eastAsia="宋体" w:cs="Arial"/>
          <w:sz w:val="24"/>
          <w:szCs w:val="24"/>
          <w:lang w:eastAsia="zh-CN"/>
        </w:rPr>
        <w:t xml:space="preserve"> </w:t>
      </w:r>
      <w:r>
        <w:rPr>
          <w:rFonts w:eastAsia="宋体" w:cs="Arial"/>
          <w:sz w:val="24"/>
          <w:szCs w:val="24"/>
          <w:lang w:val="en-US" w:eastAsia="zh-CN"/>
        </w:rPr>
        <w:t>India</w:t>
      </w:r>
      <w:r>
        <w:rPr>
          <w:rFonts w:eastAsia="宋体" w:cs="Arial"/>
          <w:sz w:val="24"/>
          <w:szCs w:val="24"/>
          <w:lang w:eastAsia="zh-CN"/>
        </w:rPr>
        <w:t xml:space="preserve">, </w:t>
      </w:r>
      <w:r>
        <w:rPr>
          <w:rFonts w:eastAsia="宋体" w:cs="Arial"/>
          <w:sz w:val="24"/>
          <w:szCs w:val="24"/>
          <w:lang w:val="en-US" w:eastAsia="zh-CN"/>
        </w:rPr>
        <w:t>25</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w:t>
      </w:r>
      <w:r>
        <w:rPr>
          <w:rFonts w:eastAsia="宋体" w:cs="Arial"/>
          <w:sz w:val="24"/>
          <w:szCs w:val="24"/>
          <w:lang w:val="en-US" w:eastAsia="zh-CN"/>
        </w:rPr>
        <w:t>9</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less than 5MHz in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7.6.4.5</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We can see the main task on RRM performance part for less than 5MHz NTN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rPr>
                <w:b/>
                <w:lang w:val="en-US"/>
              </w:rPr>
            </w:pPr>
            <w:r>
              <w:rPr>
                <w:rFonts w:eastAsia="等线"/>
                <w:b/>
                <w:lang w:val="en-US" w:eastAsia="zh-CN" w:bidi="ar"/>
              </w:rPr>
              <w:t>Less than 5MHz for NTN</w:t>
            </w:r>
          </w:p>
          <w:p>
            <w:pPr>
              <w:pStyle w:val="87"/>
              <w:widowControl/>
              <w:numPr>
                <w:ilvl w:val="0"/>
                <w:numId w:val="3"/>
              </w:numPr>
              <w:ind w:firstLineChars="0"/>
              <w:jc w:val="left"/>
              <w:rPr>
                <w:rFonts w:hint="default" w:ascii="Times New Roman" w:hAnsi="Times New Roman"/>
                <w:sz w:val="20"/>
                <w:szCs w:val="20"/>
              </w:rPr>
            </w:pPr>
            <w:r>
              <w:rPr>
                <w:rFonts w:hint="default" w:ascii="Times New Roman" w:hAnsi="Times New Roman"/>
                <w:sz w:val="20"/>
                <w:szCs w:val="20"/>
              </w:rPr>
              <w:t>Specify the necessary conformance requirements for SAN for less than 5 MHz for NR-NTN in FR1-NTN bands</w:t>
            </w:r>
          </w:p>
          <w:p>
            <w:pPr>
              <w:pStyle w:val="87"/>
              <w:widowControl/>
              <w:numPr>
                <w:ilvl w:val="0"/>
                <w:numId w:val="3"/>
              </w:numPr>
              <w:ind w:firstLineChars="0"/>
              <w:jc w:val="left"/>
              <w:rPr>
                <w:rFonts w:hint="default" w:ascii="Times New Roman" w:hAnsi="Times New Roman"/>
                <w:sz w:val="20"/>
                <w:szCs w:val="20"/>
                <w:highlight w:val="yellow"/>
              </w:rPr>
            </w:pPr>
            <w:r>
              <w:rPr>
                <w:rFonts w:hint="default" w:ascii="Times New Roman" w:hAnsi="Times New Roman"/>
                <w:sz w:val="20"/>
                <w:szCs w:val="20"/>
                <w:highlight w:val="yellow"/>
              </w:rPr>
              <w:t>Specify the necessary RRM performance requirements and test cases for less than 5 MHz for NR-NTN in FR1-NTN bands</w:t>
            </w:r>
          </w:p>
          <w:p>
            <w:pPr>
              <w:pStyle w:val="87"/>
              <w:widowControl/>
              <w:numPr>
                <w:ilvl w:val="0"/>
                <w:numId w:val="3"/>
              </w:numPr>
              <w:spacing w:after="180"/>
              <w:ind w:firstLineChars="0"/>
              <w:jc w:val="left"/>
              <w:rPr>
                <w:rFonts w:hint="default" w:eastAsia="宋体"/>
                <w:sz w:val="22"/>
              </w:rPr>
            </w:pPr>
            <w:r>
              <w:rPr>
                <w:rFonts w:hint="default" w:ascii="Times New Roman" w:hAnsi="Times New Roman"/>
                <w:sz w:val="20"/>
                <w:szCs w:val="20"/>
              </w:rPr>
              <w:t>Specify the necessary demodulation performance requirements for less than 5 MHz for NR-NTN in FR1-NTN bands</w:t>
            </w:r>
          </w:p>
        </w:tc>
      </w:tr>
    </w:tbl>
    <w:p>
      <w:pPr>
        <w:spacing w:before="120" w:beforeLines="50" w:after="120" w:afterLines="50"/>
        <w:jc w:val="both"/>
        <w:rPr>
          <w:rFonts w:eastAsia="宋体"/>
          <w:sz w:val="22"/>
          <w:szCs w:val="22"/>
          <w:lang w:val="en-US" w:eastAsia="zh-CN"/>
        </w:rPr>
      </w:pPr>
      <w:r>
        <w:rPr>
          <w:rFonts w:hint="eastAsia" w:eastAsia="宋体"/>
          <w:sz w:val="22"/>
          <w:szCs w:val="22"/>
          <w:lang w:val="en-US" w:eastAsia="zh-CN"/>
        </w:rPr>
        <w:t>In this paper we will provide our views on RRM performance requirements on less than 5MHz NTN.</w:t>
      </w:r>
    </w:p>
    <w:p>
      <w:pPr>
        <w:pStyle w:val="77"/>
        <w:rPr>
          <w:lang w:val="en-US"/>
        </w:rPr>
      </w:pPr>
      <w:r>
        <w:rPr>
          <w:lang w:val="en-US"/>
        </w:rPr>
        <w:t>Discussion</w:t>
      </w:r>
    </w:p>
    <w:p>
      <w:pPr>
        <w:spacing w:after="120"/>
        <w:jc w:val="both"/>
        <w:rPr>
          <w:lang w:val="en-US" w:eastAsia="zh-CN"/>
        </w:rPr>
      </w:pPr>
      <w:r>
        <w:rPr>
          <w:rFonts w:hint="eastAsia"/>
          <w:lang w:val="en-US" w:eastAsia="zh-CN"/>
        </w:rPr>
        <w:t>In last meeting, we have already confirmed the measurement accuracy requirements and common testing configuration. For test cases, there are still some remaining issues to be discussed</w:t>
      </w:r>
      <w:r>
        <w:rPr>
          <w:lang w:val="en-US" w:eastAsia="zh-CN"/>
        </w:rPr>
        <w:t xml:space="preserve"> in following table</w:t>
      </w:r>
      <w:r>
        <w:rPr>
          <w:rFonts w:hint="eastAsia"/>
          <w:lang w:val="en-US" w:eastAsia="zh-CN"/>
        </w:rPr>
        <w:t xml:space="preserve">. </w:t>
      </w:r>
    </w:p>
    <w:tbl>
      <w:tblPr>
        <w:tblStyle w:val="30"/>
        <w:tblW w:w="9923" w:type="dxa"/>
        <w:tblInd w:w="10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18"/>
        <w:gridCol w:w="1843"/>
        <w:gridCol w:w="4536"/>
        <w:gridCol w:w="212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6" w:hRule="atLeast"/>
        </w:trPr>
        <w:tc>
          <w:tcPr>
            <w:tcW w:w="1418" w:type="dxa"/>
            <w:tcBorders>
              <w:top w:val="single" w:color="000000" w:sz="6" w:space="0"/>
              <w:left w:val="single" w:color="000000" w:sz="6" w:space="0"/>
              <w:bottom w:val="single" w:color="000000" w:sz="6" w:space="0"/>
              <w:right w:val="single" w:color="000000" w:sz="6" w:space="0"/>
            </w:tcBorders>
          </w:tcPr>
          <w:p>
            <w:pPr>
              <w:rPr>
                <w:b/>
                <w:bCs/>
                <w:color w:val="000000"/>
                <w:sz w:val="18"/>
                <w:szCs w:val="18"/>
                <w:lang w:val="en-US" w:eastAsia="zh-CN"/>
              </w:rPr>
            </w:pPr>
            <w:r>
              <w:rPr>
                <w:b/>
                <w:bCs/>
                <w:color w:val="000000"/>
                <w:sz w:val="18"/>
                <w:szCs w:val="18"/>
              </w:rPr>
              <w:t>Test case</w:t>
            </w:r>
          </w:p>
        </w:tc>
        <w:tc>
          <w:tcPr>
            <w:tcW w:w="1843" w:type="dxa"/>
            <w:tcBorders>
              <w:top w:val="single" w:color="000000" w:sz="6" w:space="0"/>
              <w:left w:val="nil"/>
              <w:bottom w:val="single" w:color="000000" w:sz="6" w:space="0"/>
              <w:right w:val="single" w:color="000000" w:sz="6" w:space="0"/>
            </w:tcBorders>
            <w:tcMar>
              <w:top w:w="90" w:type="dxa"/>
              <w:left w:w="90" w:type="dxa"/>
              <w:bottom w:w="90" w:type="dxa"/>
              <w:right w:w="90" w:type="dxa"/>
            </w:tcMar>
          </w:tcPr>
          <w:p>
            <w:pPr>
              <w:rPr>
                <w:sz w:val="18"/>
                <w:szCs w:val="18"/>
              </w:rPr>
            </w:pPr>
            <w:r>
              <w:rPr>
                <w:b/>
                <w:bCs/>
                <w:sz w:val="18"/>
                <w:szCs w:val="18"/>
              </w:rPr>
              <w:t>Requirements</w:t>
            </w:r>
          </w:p>
        </w:tc>
        <w:tc>
          <w:tcPr>
            <w:tcW w:w="4536" w:type="dxa"/>
            <w:tcBorders>
              <w:top w:val="single" w:color="000000" w:sz="6" w:space="0"/>
              <w:left w:val="nil"/>
              <w:bottom w:val="single" w:color="000000" w:sz="6" w:space="0"/>
              <w:right w:val="single" w:color="000000" w:sz="6" w:space="0"/>
            </w:tcBorders>
          </w:tcPr>
          <w:p>
            <w:pPr>
              <w:rPr>
                <w:b/>
                <w:bCs/>
                <w:color w:val="000000"/>
                <w:sz w:val="18"/>
                <w:szCs w:val="18"/>
              </w:rPr>
            </w:pPr>
            <w:r>
              <w:rPr>
                <w:b/>
                <w:bCs/>
                <w:color w:val="000000"/>
                <w:sz w:val="18"/>
                <w:szCs w:val="18"/>
              </w:rPr>
              <w:t>Configurations</w:t>
            </w:r>
          </w:p>
          <w:p>
            <w:pPr>
              <w:rPr>
                <w:b/>
                <w:bCs/>
                <w:color w:val="000000"/>
                <w:sz w:val="18"/>
                <w:szCs w:val="18"/>
              </w:rPr>
            </w:pPr>
          </w:p>
        </w:tc>
        <w:tc>
          <w:tcPr>
            <w:tcW w:w="2126" w:type="dxa"/>
            <w:tcBorders>
              <w:top w:val="single" w:color="000000" w:sz="6" w:space="0"/>
              <w:left w:val="nil"/>
              <w:bottom w:val="single" w:color="000000" w:sz="6" w:space="0"/>
              <w:right w:val="single" w:color="000000" w:sz="6" w:space="0"/>
            </w:tcBorders>
          </w:tcPr>
          <w:p>
            <w:pPr>
              <w:rPr>
                <w:b/>
                <w:bCs/>
                <w:color w:val="000000"/>
                <w:sz w:val="18"/>
                <w:szCs w:val="18"/>
              </w:rPr>
            </w:pPr>
            <w:r>
              <w:rPr>
                <w:b/>
                <w:bCs/>
                <w:color w:val="5B9BD5"/>
                <w:sz w:val="18"/>
                <w:szCs w:val="18"/>
              </w:rPr>
              <w:t>Core requirements to be defined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6" w:hRule="atLeast"/>
        </w:trPr>
        <w:tc>
          <w:tcPr>
            <w:tcW w:w="1418" w:type="dxa"/>
            <w:tcBorders>
              <w:top w:val="single" w:color="000000" w:sz="6" w:space="0"/>
              <w:left w:val="single" w:color="000000" w:sz="6" w:space="0"/>
              <w:bottom w:val="single" w:color="000000" w:sz="6" w:space="0"/>
              <w:right w:val="single" w:color="000000" w:sz="6" w:space="0"/>
            </w:tcBorders>
          </w:tcPr>
          <w:p>
            <w:pPr>
              <w:rPr>
                <w:b/>
                <w:bCs/>
                <w:color w:val="000000"/>
                <w:sz w:val="18"/>
                <w:szCs w:val="18"/>
              </w:rPr>
            </w:pPr>
            <w:r>
              <w:rPr>
                <w:rFonts w:eastAsia="宋体"/>
                <w:b/>
              </w:rPr>
              <w:t>Common configuration</w:t>
            </w:r>
          </w:p>
        </w:tc>
        <w:tc>
          <w:tcPr>
            <w:tcW w:w="1843" w:type="dxa"/>
            <w:tcBorders>
              <w:top w:val="single" w:color="000000" w:sz="6" w:space="0"/>
              <w:left w:val="nil"/>
              <w:bottom w:val="single" w:color="000000" w:sz="6" w:space="0"/>
              <w:right w:val="single" w:color="000000" w:sz="6" w:space="0"/>
            </w:tcBorders>
            <w:tcMar>
              <w:top w:w="90" w:type="dxa"/>
              <w:left w:w="90" w:type="dxa"/>
              <w:bottom w:w="90" w:type="dxa"/>
              <w:right w:w="90" w:type="dxa"/>
            </w:tcMar>
          </w:tcPr>
          <w:p>
            <w:pPr>
              <w:rPr>
                <w:b/>
                <w:bCs/>
                <w:sz w:val="18"/>
                <w:szCs w:val="18"/>
              </w:rPr>
            </w:pPr>
          </w:p>
        </w:tc>
        <w:tc>
          <w:tcPr>
            <w:tcW w:w="4536" w:type="dxa"/>
            <w:tcBorders>
              <w:top w:val="single" w:color="000000" w:sz="6" w:space="0"/>
              <w:left w:val="nil"/>
              <w:bottom w:val="single" w:color="000000" w:sz="6" w:space="0"/>
              <w:right w:val="single" w:color="000000" w:sz="6" w:space="0"/>
            </w:tcBorders>
          </w:tcPr>
          <w:p>
            <w:pPr>
              <w:rPr>
                <w:b/>
                <w:bCs/>
                <w:color w:val="000000"/>
                <w:sz w:val="18"/>
                <w:szCs w:val="18"/>
              </w:rPr>
            </w:pPr>
            <w:r>
              <w:rPr>
                <w:rFonts w:eastAsia="宋体"/>
                <w:bCs/>
                <w:highlight w:val="green"/>
              </w:rPr>
              <w:t>15KHz</w:t>
            </w:r>
            <w:r>
              <w:rPr>
                <w:rFonts w:eastAsia="宋体"/>
                <w:bCs/>
              </w:rPr>
              <w:t xml:space="preserve">, </w:t>
            </w:r>
            <w:r>
              <w:rPr>
                <w:rFonts w:eastAsia="宋体"/>
                <w:bCs/>
                <w:highlight w:val="green"/>
              </w:rPr>
              <w:t>3MHz BW, 12 PRB SSB</w:t>
            </w:r>
            <w:r>
              <w:rPr>
                <w:rFonts w:eastAsia="宋体"/>
                <w:bCs/>
              </w:rPr>
              <w:t xml:space="preserve">, </w:t>
            </w:r>
            <w:r>
              <w:rPr>
                <w:rFonts w:eastAsia="宋体"/>
                <w:bCs/>
                <w:highlight w:val="green"/>
              </w:rPr>
              <w:t>GSO/NGSO</w:t>
            </w:r>
          </w:p>
        </w:tc>
        <w:tc>
          <w:tcPr>
            <w:tcW w:w="2126" w:type="dxa"/>
            <w:tcBorders>
              <w:top w:val="single" w:color="000000" w:sz="6" w:space="0"/>
              <w:left w:val="nil"/>
              <w:bottom w:val="single" w:color="000000" w:sz="6" w:space="0"/>
              <w:right w:val="single" w:color="000000" w:sz="6" w:space="0"/>
            </w:tcBorders>
          </w:tcPr>
          <w:p>
            <w:pPr>
              <w:rPr>
                <w:b/>
                <w:bCs/>
                <w:color w:val="5B9BD5"/>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8" w:hRule="atLeast"/>
        </w:trPr>
        <w:tc>
          <w:tcPr>
            <w:tcW w:w="1418" w:type="dxa"/>
            <w:vMerge w:val="restart"/>
            <w:tcBorders>
              <w:top w:val="nil"/>
              <w:left w:val="single" w:color="000000" w:sz="6" w:space="0"/>
              <w:bottom w:val="single" w:color="000000" w:sz="6" w:space="0"/>
              <w:right w:val="single" w:color="000000" w:sz="6" w:space="0"/>
            </w:tcBorders>
          </w:tcPr>
          <w:p>
            <w:pPr>
              <w:autoSpaceDE w:val="0"/>
              <w:autoSpaceDN w:val="0"/>
              <w:adjustRightInd w:val="0"/>
              <w:rPr>
                <w:sz w:val="21"/>
                <w:szCs w:val="21"/>
              </w:rPr>
            </w:pPr>
            <w:r>
              <w:rPr>
                <w:rFonts w:eastAsia="宋体"/>
                <w:bCs/>
              </w:rPr>
              <w:t xml:space="preserve">HO-1: </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pPr>
            <w:r>
              <w:t>6.1C.1.2 NR SAN FR1 – NR SAN FR1 Handover</w:t>
            </w:r>
          </w:p>
        </w:tc>
        <w:tc>
          <w:tcPr>
            <w:tcW w:w="4536" w:type="dxa"/>
            <w:tcBorders>
              <w:top w:val="single" w:color="000000" w:sz="6" w:space="0"/>
              <w:left w:val="nil"/>
              <w:bottom w:val="single" w:color="auto" w:sz="4" w:space="0"/>
              <w:right w:val="single" w:color="000000" w:sz="6" w:space="0"/>
            </w:tcBorders>
          </w:tcPr>
          <w:p>
            <w:pPr>
              <w:rPr>
                <w:rFonts w:eastAsia="宋体"/>
              </w:rPr>
            </w:pPr>
            <w:r>
              <w:rPr>
                <w:rFonts w:eastAsia="宋体"/>
                <w:highlight w:val="green"/>
              </w:rPr>
              <w:t>unknown cell</w:t>
            </w:r>
          </w:p>
          <w:p>
            <w:pPr>
              <w:rPr>
                <w:rFonts w:eastAsia="等线"/>
              </w:rPr>
            </w:pPr>
          </w:p>
        </w:tc>
        <w:tc>
          <w:tcPr>
            <w:tcW w:w="2126" w:type="dxa"/>
            <w:vMerge w:val="restart"/>
            <w:tcBorders>
              <w:top w:val="single" w:color="000000" w:sz="6" w:space="0"/>
              <w:left w:val="nil"/>
              <w:right w:val="single" w:color="000000" w:sz="6" w:space="0"/>
            </w:tcBorders>
          </w:tcPr>
          <w:p>
            <w:pPr>
              <w:rPr>
                <w:rFonts w:eastAsia="宋体"/>
                <w:lang w:eastAsia="zh-CN"/>
              </w:rPr>
            </w:pPr>
            <w:r>
              <w:rPr>
                <w:rFonts w:eastAsia="宋体"/>
                <w:lang w:eastAsia="zh-CN"/>
              </w:rPr>
              <w:t>Define HO delay requirements, which are taken extension of delay for TN less than 5MHz as baseline.</w:t>
            </w:r>
          </w:p>
          <w:p>
            <w:pPr>
              <w:rPr>
                <w:rFonts w:eastAsia="宋体"/>
                <w:lang w:eastAsia="zh-CN"/>
              </w:rPr>
            </w:pPr>
            <w:r>
              <w:rPr>
                <w:rFonts w:hint="eastAsia" w:eastAsia="宋体"/>
                <w:lang w:eastAsia="zh-CN"/>
              </w:rPr>
              <w:t>TΔ</w:t>
            </w:r>
            <w:r>
              <w:rPr>
                <w:rFonts w:eastAsia="宋体"/>
                <w:lang w:eastAsia="zh-CN"/>
              </w:rPr>
              <w:t xml:space="preserve"> is extended to [3Trs]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7"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sz w:val="21"/>
                <w:szCs w:val="21"/>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spacing w:before="120" w:beforeLines="50" w:after="120" w:afterLines="50"/>
              <w:rPr>
                <w:rFonts w:eastAsia="等线"/>
              </w:rPr>
            </w:pPr>
            <w:r>
              <w:rPr>
                <w:highlight w:val="green"/>
              </w:rPr>
              <w:t>Intra-frequency</w:t>
            </w:r>
          </w:p>
          <w:p>
            <w:pPr>
              <w:spacing w:before="120" w:beforeLines="50" w:after="120" w:afterLines="50"/>
              <w:rPr>
                <w:rFonts w:eastAsia="宋体"/>
              </w:rPr>
            </w:pPr>
            <w:r>
              <w:t xml:space="preserve"> </w:t>
            </w:r>
          </w:p>
        </w:tc>
        <w:tc>
          <w:tcPr>
            <w:tcW w:w="2126" w:type="dxa"/>
            <w:vMerge w:val="continue"/>
            <w:tcBorders>
              <w:left w:val="nil"/>
              <w:right w:val="single" w:color="000000" w:sz="6" w:space="0"/>
            </w:tcBorders>
          </w:tcPr>
          <w:p>
            <w:pPr>
              <w:spacing w:before="120" w:beforeLines="50" w:after="120" w:afterLines="50"/>
              <w:rPr>
                <w:rFonts w:eastAsia="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sz w:val="21"/>
                <w:szCs w:val="21"/>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highlight w:val="green"/>
              </w:rPr>
            </w:pPr>
            <w:r>
              <w:rPr>
                <w:rFonts w:eastAsia="宋体"/>
                <w:highlight w:val="green"/>
              </w:rPr>
              <w:t>Same testing procedure as NTN can be reused</w:t>
            </w:r>
          </w:p>
          <w:p>
            <w:pPr>
              <w:rPr>
                <w:rFonts w:eastAsia="宋体"/>
                <w:highlight w:val="green"/>
              </w:rPr>
            </w:pPr>
          </w:p>
        </w:tc>
        <w:tc>
          <w:tcPr>
            <w:tcW w:w="2126" w:type="dxa"/>
            <w:vMerge w:val="continue"/>
            <w:tcBorders>
              <w:left w:val="nil"/>
              <w:right w:val="single" w:color="000000" w:sz="6" w:space="0"/>
            </w:tcBorders>
          </w:tcPr>
          <w:p>
            <w:pPr>
              <w:rPr>
                <w:rFonts w:eastAsia="等线"/>
                <w:bCs/>
                <w:highlight w:val="gree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9"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sz w:val="21"/>
                <w:szCs w:val="21"/>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spacing w:before="120" w:beforeLines="50" w:after="120" w:afterLines="50"/>
              <w:rPr>
                <w:rFonts w:eastAsia="宋体"/>
              </w:rPr>
            </w:pPr>
            <w:r>
              <w:rPr>
                <w:rFonts w:eastAsia="宋体"/>
              </w:rPr>
              <w:t xml:space="preserve">FFS: </w:t>
            </w:r>
            <w:r>
              <w:rPr>
                <w:rFonts w:hint="eastAsia" w:eastAsia="宋体"/>
              </w:rPr>
              <w:t>O</w:t>
            </w:r>
            <w:r>
              <w:rPr>
                <w:rFonts w:eastAsia="宋体"/>
              </w:rPr>
              <w:t>ther aspects</w:t>
            </w: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4"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sz w:val="21"/>
                <w:szCs w:val="21"/>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spacing w:before="120" w:beforeLines="50" w:after="120" w:afterLines="50"/>
              <w:rPr>
                <w:rFonts w:eastAsia="宋体"/>
              </w:rPr>
            </w:pPr>
          </w:p>
        </w:tc>
        <w:tc>
          <w:tcPr>
            <w:tcW w:w="2126" w:type="dxa"/>
            <w:vMerge w:val="continue"/>
            <w:tcBorders>
              <w:left w:val="nil"/>
              <w:bottom w:val="single" w:color="auto" w:sz="4" w:space="0"/>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9" w:hRule="atLeast"/>
        </w:trPr>
        <w:tc>
          <w:tcPr>
            <w:tcW w:w="1418" w:type="dxa"/>
            <w:vMerge w:val="restart"/>
            <w:tcBorders>
              <w:top w:val="nil"/>
              <w:left w:val="single" w:color="000000" w:sz="6" w:space="0"/>
              <w:bottom w:val="single" w:color="000000" w:sz="6" w:space="0"/>
              <w:right w:val="single" w:color="000000" w:sz="6" w:space="0"/>
            </w:tcBorders>
          </w:tcPr>
          <w:p>
            <w:pPr>
              <w:autoSpaceDE w:val="0"/>
              <w:autoSpaceDN w:val="0"/>
              <w:adjustRightInd w:val="0"/>
              <w:rPr>
                <w:rFonts w:eastAsia="等线"/>
              </w:rPr>
            </w:pPr>
            <w:r>
              <w:rPr>
                <w:rFonts w:eastAsia="宋体"/>
                <w:bCs/>
              </w:rPr>
              <w:t>CHO-1</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pPr>
            <w:r>
              <w:t>6.1C.2.2</w:t>
            </w:r>
            <w:r>
              <w:tab/>
            </w:r>
            <w:r>
              <w:t>NR SAN FR1 – NR SAN FR1 conditional handover</w:t>
            </w:r>
          </w:p>
          <w:p>
            <w:pPr>
              <w:autoSpaceDE w:val="0"/>
              <w:autoSpaceDN w:val="0"/>
              <w:adjustRightInd w:val="0"/>
            </w:pPr>
            <w:r>
              <w:t>or</w:t>
            </w:r>
          </w:p>
          <w:p>
            <w:pPr>
              <w:autoSpaceDE w:val="0"/>
              <w:autoSpaceDN w:val="0"/>
              <w:adjustRightInd w:val="0"/>
            </w:pPr>
            <w:r>
              <w:t>6.1C.2.3 NR SAN FR1 – NR SAN FR1 conditional handover without L3 measurements</w:t>
            </w:r>
          </w:p>
        </w:tc>
        <w:tc>
          <w:tcPr>
            <w:tcW w:w="4536" w:type="dxa"/>
            <w:tcBorders>
              <w:top w:val="single" w:color="000000" w:sz="6" w:space="0"/>
              <w:left w:val="nil"/>
              <w:bottom w:val="single" w:color="auto" w:sz="4" w:space="0"/>
              <w:right w:val="single" w:color="000000" w:sz="6" w:space="0"/>
            </w:tcBorders>
          </w:tcPr>
          <w:p>
            <w:r>
              <w:t>FFS: With L3 measurement/ without L3 measurements</w:t>
            </w:r>
          </w:p>
        </w:tc>
        <w:tc>
          <w:tcPr>
            <w:tcW w:w="2126" w:type="dxa"/>
            <w:vMerge w:val="restart"/>
            <w:tcBorders>
              <w:top w:val="single" w:color="000000" w:sz="6" w:space="0"/>
              <w:left w:val="nil"/>
              <w:right w:val="single" w:color="000000" w:sz="6" w:space="0"/>
            </w:tcBorders>
          </w:tcPr>
          <w:p>
            <w:pPr>
              <w:pStyle w:val="73"/>
              <w:numPr>
                <w:ilvl w:val="0"/>
                <w:numId w:val="4"/>
              </w:numPr>
              <w:rPr>
                <w:rFonts w:eastAsia="宋体"/>
                <w:lang w:eastAsia="zh-CN"/>
              </w:rPr>
            </w:pPr>
            <w:r>
              <w:rPr>
                <w:rFonts w:ascii="Times New Roman" w:hAnsi="Times New Roman" w:eastAsia="宋体" w:cs="Times New Roman"/>
                <w:sz w:val="20"/>
                <w:szCs w:val="20"/>
                <w:lang w:val="en-GB" w:eastAsia="zh-CN"/>
              </w:rPr>
              <w:t>for CHO with L3 measurements:</w:t>
            </w:r>
          </w:p>
          <w:p>
            <w:pPr>
              <w:rPr>
                <w:rFonts w:eastAsia="宋体"/>
                <w:lang w:eastAsia="zh-CN"/>
              </w:rPr>
            </w:pPr>
            <w:r>
              <w:rPr>
                <w:rFonts w:eastAsia="宋体"/>
                <w:lang w:eastAsia="zh-CN"/>
              </w:rPr>
              <w:t>For CHO with L3 measurement, when Tmeasure is extended with [3] for intra-frequency case, T∆ in Tinterrupt can be extended to 2 Trs.</w:t>
            </w:r>
          </w:p>
          <w:p>
            <w:pPr>
              <w:pStyle w:val="73"/>
              <w:numPr>
                <w:ilvl w:val="0"/>
                <w:numId w:val="4"/>
              </w:numPr>
              <w:rPr>
                <w:rFonts w:ascii="Times New Roman" w:hAnsi="Times New Roman" w:eastAsia="宋体" w:cs="Times New Roman"/>
                <w:sz w:val="20"/>
                <w:szCs w:val="20"/>
                <w:lang w:val="en-GB" w:eastAsia="zh-CN"/>
              </w:rPr>
            </w:pPr>
            <w:r>
              <w:rPr>
                <w:rFonts w:ascii="Times New Roman" w:hAnsi="Times New Roman" w:eastAsia="宋体" w:cs="Times New Roman"/>
                <w:sz w:val="20"/>
                <w:szCs w:val="20"/>
                <w:lang w:val="en-GB" w:eastAsia="zh-CN"/>
              </w:rPr>
              <w:t>for CHO without L3 measurements:</w:t>
            </w:r>
          </w:p>
          <w:p>
            <w:pPr>
              <w:rPr>
                <w:rFonts w:eastAsia="宋体"/>
                <w:lang w:eastAsia="zh-CN"/>
              </w:rPr>
            </w:pPr>
            <w:r>
              <w:rPr>
                <w:rFonts w:eastAsia="宋体"/>
                <w:lang w:eastAsia="zh-CN"/>
              </w:rPr>
              <w:t>T∆ in CHO requirement for NTN in exiting TS38.133 shall be extended to [3 Trs]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r>
              <w:rPr>
                <w:rFonts w:hint="eastAsia"/>
                <w:highlight w:val="green"/>
              </w:rPr>
              <w:t>T</w:t>
            </w:r>
            <w:r>
              <w:rPr>
                <w:highlight w:val="green"/>
              </w:rPr>
              <w:t>ime based</w:t>
            </w:r>
            <w:r>
              <w:t xml:space="preserve"> </w:t>
            </w:r>
          </w:p>
          <w:p>
            <w:pPr>
              <w:rPr>
                <w:rFonts w:eastAsia="宋体"/>
                <w:bCs/>
              </w:rPr>
            </w:pP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等线"/>
              </w:rPr>
            </w:pPr>
            <w:r>
              <w:rPr>
                <w:highlight w:val="green"/>
              </w:rPr>
              <w:t>Unknown target cell</w:t>
            </w: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r>
              <w:rPr>
                <w:rFonts w:eastAsia="宋体"/>
                <w:bCs/>
                <w:highlight w:val="green"/>
              </w:rPr>
              <w:t>Intra-frequenc</w:t>
            </w:r>
            <w:r>
              <w:rPr>
                <w:rFonts w:eastAsia="宋体"/>
                <w:bCs/>
              </w:rPr>
              <w:t>y</w:t>
            </w:r>
          </w:p>
          <w:p>
            <w:pPr>
              <w:rPr>
                <w:rFonts w:eastAsia="宋体"/>
                <w:bCs/>
              </w:rPr>
            </w:pP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6"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000000" w:sz="6" w:space="0"/>
              <w:right w:val="single" w:color="000000" w:sz="6" w:space="0"/>
            </w:tcBorders>
          </w:tcPr>
          <w:p>
            <w:pPr>
              <w:rPr>
                <w:rFonts w:eastAsia="宋体"/>
                <w:bCs/>
              </w:rPr>
            </w:pPr>
            <w:r>
              <w:rPr>
                <w:rFonts w:hint="eastAsia" w:eastAsia="宋体"/>
                <w:bCs/>
              </w:rPr>
              <w:t>O</w:t>
            </w:r>
            <w:r>
              <w:rPr>
                <w:rFonts w:eastAsia="宋体"/>
                <w:bCs/>
              </w:rPr>
              <w:t>ther aspects</w:t>
            </w:r>
          </w:p>
        </w:tc>
        <w:tc>
          <w:tcPr>
            <w:tcW w:w="2126" w:type="dxa"/>
            <w:vMerge w:val="continue"/>
            <w:tcBorders>
              <w:left w:val="nil"/>
              <w:bottom w:val="single" w:color="000000" w:sz="6" w:space="0"/>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7" w:hRule="atLeast"/>
        </w:trPr>
        <w:tc>
          <w:tcPr>
            <w:tcW w:w="1418" w:type="dxa"/>
            <w:vMerge w:val="restart"/>
            <w:tcBorders>
              <w:top w:val="nil"/>
              <w:left w:val="single" w:color="000000" w:sz="6" w:space="0"/>
              <w:bottom w:val="single" w:color="000000" w:sz="6" w:space="0"/>
              <w:right w:val="single" w:color="000000" w:sz="6" w:space="0"/>
            </w:tcBorders>
          </w:tcPr>
          <w:p>
            <w:pPr>
              <w:rPr>
                <w:rFonts w:eastAsia="等线"/>
              </w:rPr>
            </w:pPr>
            <w:r>
              <w:rPr>
                <w:rFonts w:eastAsia="宋体"/>
                <w:bCs/>
              </w:rPr>
              <w:t>SatSwitch-1</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r>
              <w:t>6.1C.3</w:t>
            </w:r>
            <w:r>
              <w:tab/>
            </w:r>
            <w:r>
              <w:t>NR SAN Satellite switching with re-synchronization</w:t>
            </w:r>
          </w:p>
          <w:p>
            <w:pPr>
              <w:autoSpaceDE w:val="0"/>
              <w:autoSpaceDN w:val="0"/>
              <w:adjustRightInd w:val="0"/>
            </w:pPr>
          </w:p>
        </w:tc>
        <w:tc>
          <w:tcPr>
            <w:tcW w:w="4536" w:type="dxa"/>
            <w:tcBorders>
              <w:top w:val="single" w:color="000000" w:sz="6" w:space="0"/>
              <w:left w:val="nil"/>
              <w:bottom w:val="single" w:color="auto" w:sz="4" w:space="0"/>
              <w:right w:val="single" w:color="000000" w:sz="6" w:space="0"/>
            </w:tcBorders>
          </w:tcPr>
          <w:p>
            <w:r>
              <w:rPr>
                <w:rFonts w:eastAsia="宋体"/>
                <w:bCs/>
                <w:highlight w:val="green"/>
              </w:rPr>
              <w:t xml:space="preserve">Hard </w:t>
            </w:r>
            <w:r>
              <w:rPr>
                <w:rFonts w:hint="eastAsia" w:eastAsia="宋体"/>
                <w:bCs/>
                <w:highlight w:val="green"/>
              </w:rPr>
              <w:t>switch</w:t>
            </w:r>
          </w:p>
        </w:tc>
        <w:tc>
          <w:tcPr>
            <w:tcW w:w="2126" w:type="dxa"/>
            <w:vMerge w:val="restart"/>
            <w:tcBorders>
              <w:top w:val="single" w:color="000000" w:sz="6" w:space="0"/>
              <w:left w:val="nil"/>
              <w:right w:val="single" w:color="000000" w:sz="6" w:space="0"/>
            </w:tcBorders>
          </w:tcPr>
          <w:p>
            <w:pPr>
              <w:rPr>
                <w:rFonts w:eastAsia="宋体"/>
                <w:bCs/>
                <w:lang w:eastAsia="zh-CN"/>
              </w:rPr>
            </w:pPr>
            <w:r>
              <w:rPr>
                <w:rFonts w:hint="eastAsia" w:eastAsia="宋体"/>
                <w:bCs/>
                <w:lang w:eastAsia="zh-CN"/>
              </w:rPr>
              <w:t>Sam</w:t>
            </w:r>
            <w:r>
              <w:rPr>
                <w:rFonts w:eastAsia="宋体"/>
                <w:bCs/>
                <w:lang w:eastAsia="zh-CN"/>
              </w:rPr>
              <w:t>e as HO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3"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r>
              <w:rPr>
                <w:highlight w:val="green"/>
              </w:rPr>
              <w:t>Unknown target cell</w:t>
            </w: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r>
              <w:rPr>
                <w:rFonts w:eastAsia="宋体"/>
                <w:bCs/>
              </w:rPr>
              <w:t xml:space="preserve">FFS: Other aspects:  e.g. </w:t>
            </w:r>
            <w:r>
              <w:rPr>
                <w:rFonts w:hint="eastAsia" w:eastAsia="宋体"/>
                <w:bCs/>
              </w:rPr>
              <w:t>R</w:t>
            </w:r>
            <w:r>
              <w:rPr>
                <w:rFonts w:eastAsia="宋体"/>
                <w:bCs/>
              </w:rPr>
              <w:t>ACH based</w:t>
            </w: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p>
        </w:tc>
        <w:tc>
          <w:tcPr>
            <w:tcW w:w="2126" w:type="dxa"/>
            <w:vMerge w:val="continue"/>
            <w:tcBorders>
              <w:left w:val="nil"/>
              <w:bottom w:val="single" w:color="auto" w:sz="4" w:space="0"/>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trPr>
        <w:tc>
          <w:tcPr>
            <w:tcW w:w="1418" w:type="dxa"/>
            <w:vMerge w:val="restart"/>
            <w:tcBorders>
              <w:top w:val="nil"/>
              <w:left w:val="single" w:color="000000" w:sz="6" w:space="0"/>
              <w:bottom w:val="single" w:color="000000" w:sz="6" w:space="0"/>
              <w:right w:val="single" w:color="000000" w:sz="6" w:space="0"/>
            </w:tcBorders>
          </w:tcPr>
          <w:p>
            <w:pPr>
              <w:rPr>
                <w:rFonts w:eastAsia="等线"/>
              </w:rPr>
            </w:pPr>
            <w:r>
              <w:rPr>
                <w:rFonts w:eastAsia="宋体"/>
                <w:bCs/>
              </w:rPr>
              <w:t>RLM-1</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r>
              <w:t>8.1C Radio Link Monitoring for Satellite Access</w:t>
            </w:r>
          </w:p>
          <w:p>
            <w:pPr>
              <w:pStyle w:val="29"/>
              <w:ind w:left="576" w:hanging="576"/>
              <w:rPr>
                <w:rFonts w:ascii="Calibri" w:hAnsi="Calibri" w:eastAsia="等线"/>
                <w:kern w:val="2"/>
                <w:sz w:val="21"/>
                <w:szCs w:val="21"/>
              </w:rPr>
            </w:pPr>
          </w:p>
        </w:tc>
        <w:tc>
          <w:tcPr>
            <w:tcW w:w="4536" w:type="dxa"/>
            <w:tcBorders>
              <w:top w:val="single" w:color="000000" w:sz="6" w:space="0"/>
              <w:left w:val="nil"/>
              <w:bottom w:val="single" w:color="auto" w:sz="4" w:space="0"/>
              <w:right w:val="single" w:color="000000" w:sz="6" w:space="0"/>
            </w:tcBorders>
          </w:tcPr>
          <w:p>
            <w:pPr>
              <w:rPr>
                <w:rFonts w:ascii="Calibri" w:hAnsi="Calibri" w:eastAsia="等线"/>
                <w:kern w:val="2"/>
                <w:sz w:val="21"/>
                <w:szCs w:val="21"/>
                <w:highlight w:val="green"/>
              </w:rPr>
            </w:pPr>
            <w:r>
              <w:rPr>
                <w:highlight w:val="green"/>
              </w:rPr>
              <w:t>RLM OOS</w:t>
            </w:r>
          </w:p>
        </w:tc>
        <w:tc>
          <w:tcPr>
            <w:tcW w:w="2126" w:type="dxa"/>
            <w:vMerge w:val="restart"/>
            <w:tcBorders>
              <w:top w:val="single" w:color="000000" w:sz="6" w:space="0"/>
              <w:left w:val="nil"/>
              <w:right w:val="single" w:color="000000" w:sz="6" w:space="0"/>
            </w:tcBorders>
          </w:tcPr>
          <w:p>
            <w:pPr>
              <w:rPr>
                <w:rFonts w:eastAsiaTheme="minorEastAsia"/>
                <w:highlight w:val="yellow"/>
                <w:lang w:eastAsia="zh-CN"/>
              </w:rPr>
            </w:pPr>
            <w:r>
              <w:rPr>
                <w:rFonts w:eastAsia="宋体"/>
                <w:bCs/>
                <w:lang w:eastAsia="zh-CN"/>
              </w:rPr>
              <w:t>TN less than 5MHz is reused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4"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auto" w:sz="4" w:space="0"/>
              <w:right w:val="single" w:color="000000" w:sz="6" w:space="0"/>
            </w:tcBorders>
          </w:tcPr>
          <w:p>
            <w:pPr>
              <w:rPr>
                <w:highlight w:val="green"/>
              </w:rPr>
            </w:pPr>
            <w:r>
              <w:rPr>
                <w:highlight w:val="green"/>
              </w:rPr>
              <w:t>FR1 PCell only</w:t>
            </w:r>
          </w:p>
        </w:tc>
        <w:tc>
          <w:tcPr>
            <w:tcW w:w="2126" w:type="dxa"/>
            <w:vMerge w:val="continue"/>
            <w:tcBorders>
              <w:left w:val="nil"/>
              <w:right w:val="single" w:color="000000" w:sz="6" w:space="0"/>
            </w:tcBorders>
          </w:tcPr>
          <w:p>
            <w:pPr>
              <w:rPr>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auto" w:sz="4" w:space="0"/>
              <w:right w:val="single" w:color="000000" w:sz="6" w:space="0"/>
            </w:tcBorders>
          </w:tcPr>
          <w:p>
            <w:r>
              <w:t>FFS: non-DRX/DRX</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7"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auto" w:sz="4" w:space="0"/>
              <w:right w:val="single" w:color="000000" w:sz="6" w:space="0"/>
            </w:tcBorders>
          </w:tcPr>
          <w:p>
            <w:r>
              <w:rPr>
                <w:rFonts w:eastAsia="宋体"/>
                <w:bCs/>
              </w:rPr>
              <w:t xml:space="preserve">FFS: </w:t>
            </w:r>
            <w:r>
              <w:rPr>
                <w:rFonts w:hint="eastAsia" w:eastAsia="宋体"/>
                <w:bCs/>
              </w:rPr>
              <w:t>O</w:t>
            </w:r>
            <w:r>
              <w:rPr>
                <w:rFonts w:eastAsia="宋体"/>
                <w:bCs/>
              </w:rPr>
              <w:t>ther aspects</w:t>
            </w:r>
          </w:p>
        </w:tc>
        <w:tc>
          <w:tcPr>
            <w:tcW w:w="2126" w:type="dxa"/>
            <w:vMerge w:val="continue"/>
            <w:tcBorders>
              <w:left w:val="nil"/>
              <w:bottom w:val="single" w:color="auto" w:sz="4"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1418" w:type="dxa"/>
            <w:vMerge w:val="restart"/>
            <w:tcBorders>
              <w:top w:val="nil"/>
              <w:left w:val="single" w:color="000000" w:sz="6" w:space="0"/>
              <w:bottom w:val="single" w:color="000000" w:sz="6" w:space="0"/>
              <w:right w:val="single" w:color="000000" w:sz="6" w:space="0"/>
            </w:tcBorders>
          </w:tcPr>
          <w:p>
            <w:pPr>
              <w:rPr>
                <w:rFonts w:eastAsia="宋体"/>
                <w:bCs/>
              </w:rPr>
            </w:pPr>
            <w:r>
              <w:rPr>
                <w:rFonts w:eastAsia="宋体"/>
                <w:bCs/>
              </w:rPr>
              <w:t>RLM-2</w:t>
            </w:r>
          </w:p>
        </w:tc>
        <w:tc>
          <w:tcPr>
            <w:tcW w:w="1843" w:type="dxa"/>
            <w:vMerge w:val="restart"/>
            <w:tcBorders>
              <w:top w:val="single" w:color="auto" w:sz="4" w:space="0"/>
              <w:left w:val="nil"/>
              <w:bottom w:val="single" w:color="000000" w:sz="6" w:space="0"/>
              <w:right w:val="single" w:color="000000" w:sz="6" w:space="0"/>
            </w:tcBorders>
            <w:vAlign w:val="center"/>
          </w:tcPr>
          <w:p>
            <w:pPr>
              <w:rPr>
                <w:rFonts w:eastAsia="等线"/>
              </w:rPr>
            </w:pPr>
            <w:r>
              <w:t>8.1C Radio Link Monitoring for Satellite Access</w:t>
            </w:r>
          </w:p>
          <w:p>
            <w:pPr>
              <w:pStyle w:val="29"/>
              <w:rPr>
                <w:rFonts w:ascii="Calibri" w:hAnsi="Calibri" w:eastAsia="等线"/>
                <w:kern w:val="2"/>
                <w:sz w:val="21"/>
                <w:szCs w:val="21"/>
              </w:rPr>
            </w:pPr>
          </w:p>
        </w:tc>
        <w:tc>
          <w:tcPr>
            <w:tcW w:w="4536" w:type="dxa"/>
            <w:tcBorders>
              <w:top w:val="single" w:color="000000" w:sz="6" w:space="0"/>
              <w:left w:val="nil"/>
              <w:bottom w:val="single" w:color="auto" w:sz="4" w:space="0"/>
              <w:right w:val="single" w:color="000000" w:sz="6" w:space="0"/>
            </w:tcBorders>
          </w:tcPr>
          <w:p>
            <w:pPr>
              <w:rPr>
                <w:rFonts w:eastAsia="等线"/>
              </w:rPr>
            </w:pPr>
            <w:r>
              <w:rPr>
                <w:highlight w:val="green"/>
              </w:rPr>
              <w:t>RLM IS</w:t>
            </w:r>
          </w:p>
        </w:tc>
        <w:tc>
          <w:tcPr>
            <w:tcW w:w="2126" w:type="dxa"/>
            <w:vMerge w:val="restart"/>
            <w:tcBorders>
              <w:top w:val="single" w:color="000000" w:sz="6" w:space="0"/>
              <w:left w:val="nil"/>
              <w:right w:val="single" w:color="000000" w:sz="6" w:space="0"/>
            </w:tcBorders>
          </w:tcPr>
          <w:p>
            <w:r>
              <w:rPr>
                <w:rFonts w:eastAsia="宋体"/>
                <w:bCs/>
                <w:lang w:eastAsia="zh-CN"/>
              </w:rPr>
              <w:t>TN less than 5MHz is reused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宋体"/>
                <w:bCs/>
              </w:rPr>
            </w:pPr>
          </w:p>
        </w:tc>
        <w:tc>
          <w:tcPr>
            <w:tcW w:w="1843" w:type="dxa"/>
            <w:vMerge w:val="continue"/>
            <w:tcBorders>
              <w:top w:val="single" w:color="auto" w:sz="4" w:space="0"/>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auto" w:sz="4" w:space="0"/>
              <w:right w:val="single" w:color="000000" w:sz="6" w:space="0"/>
            </w:tcBorders>
          </w:tcPr>
          <w:p>
            <w:r>
              <w:t>FR1 PCell only</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9"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宋体"/>
                <w:bCs/>
              </w:rPr>
            </w:pPr>
          </w:p>
        </w:tc>
        <w:tc>
          <w:tcPr>
            <w:tcW w:w="1843" w:type="dxa"/>
            <w:vMerge w:val="continue"/>
            <w:tcBorders>
              <w:top w:val="single" w:color="auto" w:sz="4" w:space="0"/>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000000" w:sz="6" w:space="0"/>
              <w:right w:val="single" w:color="000000" w:sz="6" w:space="0"/>
            </w:tcBorders>
          </w:tcPr>
          <w:p>
            <w:r>
              <w:t>FFS: non-DRX/DRX</w:t>
            </w:r>
          </w:p>
        </w:tc>
        <w:tc>
          <w:tcPr>
            <w:tcW w:w="2126" w:type="dxa"/>
            <w:vMerge w:val="continue"/>
            <w:tcBorders>
              <w:left w:val="nil"/>
              <w:bottom w:val="single" w:color="000000" w:sz="6"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8" w:hRule="atLeast"/>
        </w:trPr>
        <w:tc>
          <w:tcPr>
            <w:tcW w:w="1418" w:type="dxa"/>
            <w:vMerge w:val="restart"/>
            <w:tcBorders>
              <w:top w:val="nil"/>
              <w:left w:val="single" w:color="000000" w:sz="6" w:space="0"/>
              <w:bottom w:val="single" w:color="000000" w:sz="6" w:space="0"/>
              <w:right w:val="single" w:color="000000" w:sz="6" w:space="0"/>
            </w:tcBorders>
          </w:tcPr>
          <w:p>
            <w:pPr>
              <w:autoSpaceDE w:val="0"/>
              <w:autoSpaceDN w:val="0"/>
              <w:adjustRightInd w:val="0"/>
            </w:pPr>
            <w:r>
              <w:rPr>
                <w:rFonts w:eastAsia="宋体"/>
                <w:bCs/>
              </w:rPr>
              <w:t>BFR-1</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pPr>
            <w:r>
              <w:t xml:space="preserve">8.5C Link Recovery Procedures for Satellite Access </w:t>
            </w:r>
          </w:p>
        </w:tc>
        <w:tc>
          <w:tcPr>
            <w:tcW w:w="4536" w:type="dxa"/>
            <w:tcBorders>
              <w:top w:val="single" w:color="000000" w:sz="6" w:space="0"/>
              <w:left w:val="nil"/>
              <w:bottom w:val="single" w:color="auto" w:sz="4" w:space="0"/>
              <w:right w:val="single" w:color="000000" w:sz="6" w:space="0"/>
            </w:tcBorders>
          </w:tcPr>
          <w:p>
            <w:pPr>
              <w:rPr>
                <w:highlight w:val="green"/>
              </w:rPr>
            </w:pPr>
            <w:r>
              <w:rPr>
                <w:highlight w:val="green"/>
              </w:rPr>
              <w:t>SSB based BFD</w:t>
            </w:r>
          </w:p>
        </w:tc>
        <w:tc>
          <w:tcPr>
            <w:tcW w:w="2126" w:type="dxa"/>
            <w:vMerge w:val="restart"/>
            <w:tcBorders>
              <w:top w:val="single" w:color="000000" w:sz="6" w:space="0"/>
              <w:left w:val="nil"/>
              <w:right w:val="single" w:color="000000" w:sz="6" w:space="0"/>
            </w:tcBorders>
          </w:tcPr>
          <w:p>
            <w:r>
              <w:rPr>
                <w:rFonts w:eastAsia="宋体"/>
                <w:bCs/>
                <w:lang w:eastAsia="zh-CN"/>
              </w:rPr>
              <w:t>TN less than 5MHz is reused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2"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highlight w:val="green"/>
              </w:rPr>
            </w:pPr>
            <w:r>
              <w:rPr>
                <w:highlight w:val="green"/>
              </w:rPr>
              <w:t>FR1 PCell only</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FFS: non-DRX/DRX</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000000" w:sz="6" w:space="0"/>
              <w:right w:val="single" w:color="000000" w:sz="6" w:space="0"/>
            </w:tcBorders>
          </w:tcPr>
          <w:p>
            <w:r>
              <w:rPr>
                <w:rFonts w:eastAsia="宋体"/>
                <w:bCs/>
              </w:rPr>
              <w:t xml:space="preserve">FFS: </w:t>
            </w:r>
            <w:r>
              <w:rPr>
                <w:rFonts w:hint="eastAsia" w:eastAsia="宋体"/>
                <w:bCs/>
              </w:rPr>
              <w:t>O</w:t>
            </w:r>
            <w:r>
              <w:rPr>
                <w:rFonts w:eastAsia="宋体"/>
                <w:bCs/>
              </w:rPr>
              <w:t>ther aspects</w:t>
            </w:r>
          </w:p>
        </w:tc>
        <w:tc>
          <w:tcPr>
            <w:tcW w:w="2126" w:type="dxa"/>
            <w:vMerge w:val="continue"/>
            <w:tcBorders>
              <w:left w:val="nil"/>
              <w:bottom w:val="single" w:color="000000" w:sz="6"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2" w:hRule="atLeast"/>
        </w:trPr>
        <w:tc>
          <w:tcPr>
            <w:tcW w:w="1418" w:type="dxa"/>
            <w:vMerge w:val="restart"/>
            <w:tcBorders>
              <w:top w:val="nil"/>
              <w:left w:val="single" w:color="000000" w:sz="6" w:space="0"/>
              <w:bottom w:val="single" w:color="000000" w:sz="6" w:space="0"/>
              <w:right w:val="single" w:color="000000" w:sz="6" w:space="0"/>
            </w:tcBorders>
          </w:tcPr>
          <w:p>
            <w:r>
              <w:rPr>
                <w:rFonts w:eastAsia="宋体"/>
                <w:bCs/>
              </w:rPr>
              <w:t>MR-1</w:t>
            </w:r>
          </w:p>
          <w:p>
            <w:pPr>
              <w:jc w:val="right"/>
            </w:pPr>
          </w:p>
        </w:tc>
        <w:tc>
          <w:tcPr>
            <w:tcW w:w="1843" w:type="dxa"/>
            <w:vMerge w:val="restart"/>
            <w:tcBorders>
              <w:top w:val="nil"/>
              <w:left w:val="nil"/>
              <w:bottom w:val="single" w:color="000000" w:sz="6" w:space="0"/>
              <w:right w:val="single" w:color="auto" w:sz="4" w:space="0"/>
            </w:tcBorders>
            <w:tcMar>
              <w:top w:w="90" w:type="dxa"/>
              <w:left w:w="90" w:type="dxa"/>
              <w:bottom w:w="90" w:type="dxa"/>
              <w:right w:w="90" w:type="dxa"/>
            </w:tcMar>
          </w:tcPr>
          <w:p>
            <w:r>
              <w:t>9.2C NR intra-frequency measurements for SAN</w:t>
            </w:r>
          </w:p>
          <w:p>
            <w:pPr>
              <w:autoSpaceDE w:val="0"/>
              <w:autoSpaceDN w:val="0"/>
              <w:adjustRightInd w:val="0"/>
            </w:pPr>
          </w:p>
        </w:tc>
        <w:tc>
          <w:tcPr>
            <w:tcW w:w="4536" w:type="dxa"/>
            <w:tcBorders>
              <w:top w:val="single" w:color="000000" w:sz="6" w:space="0"/>
              <w:left w:val="nil"/>
              <w:bottom w:val="single" w:color="auto" w:sz="4" w:space="0"/>
              <w:right w:val="single" w:color="000000" w:sz="6" w:space="0"/>
            </w:tcBorders>
          </w:tcPr>
          <w:p>
            <w:pPr>
              <w:rPr>
                <w:highlight w:val="yellow"/>
              </w:rPr>
            </w:pPr>
            <w:r>
              <w:rPr>
                <w:highlight w:val="green"/>
              </w:rPr>
              <w:t>with SSB index detection</w:t>
            </w:r>
          </w:p>
        </w:tc>
        <w:tc>
          <w:tcPr>
            <w:tcW w:w="2126" w:type="dxa"/>
            <w:vMerge w:val="restart"/>
            <w:tcBorders>
              <w:top w:val="single" w:color="000000" w:sz="6" w:space="0"/>
              <w:left w:val="nil"/>
              <w:right w:val="single" w:color="000000" w:sz="6" w:space="0"/>
            </w:tcBorders>
          </w:tcPr>
          <w:p>
            <w:r>
              <w:t>The number of SSB samples for Rel-18 NTN measurement requirements (Tidentify_xxx_with_index) can be extended by 4 and 3 for intra-frequency (Es/Iot</w:t>
            </w:r>
            <w:r>
              <w:rPr>
                <w:rFonts w:hint="eastAsia"/>
              </w:rPr>
              <w:t>≥</w:t>
            </w:r>
            <w:r>
              <w:t>-6 dB) and inter-frequency (Es/Iot</w:t>
            </w:r>
            <w:r>
              <w:rPr>
                <w:rFonts w:hint="eastAsia"/>
              </w:rPr>
              <w:t>≥</w:t>
            </w:r>
            <w:r>
              <w:t>-4 dB) respectively.</w:t>
            </w:r>
          </w:p>
          <w:p>
            <w:r>
              <w:t>Same as legacy.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auto" w:sz="4"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FFS: Non-DRX/DRX</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auto" w:sz="4"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FFS: No gap</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auto" w:sz="4" w:space="0"/>
            </w:tcBorders>
            <w:vAlign w:val="center"/>
          </w:tcPr>
          <w:p>
            <w:pPr>
              <w:spacing w:after="0"/>
              <w:rPr>
                <w:rFonts w:eastAsia="等线"/>
              </w:rPr>
            </w:pPr>
          </w:p>
        </w:tc>
        <w:tc>
          <w:tcPr>
            <w:tcW w:w="4536" w:type="dxa"/>
            <w:tcBorders>
              <w:top w:val="single" w:color="auto" w:sz="4" w:space="0"/>
              <w:left w:val="nil"/>
              <w:bottom w:val="single" w:color="000000" w:sz="6" w:space="0"/>
              <w:right w:val="single" w:color="000000" w:sz="6" w:space="0"/>
            </w:tcBorders>
          </w:tcPr>
          <w:p>
            <w:r>
              <w:rPr>
                <w:rFonts w:eastAsia="宋体"/>
                <w:bCs/>
              </w:rPr>
              <w:t xml:space="preserve">FFS: </w:t>
            </w:r>
            <w:r>
              <w:rPr>
                <w:rFonts w:hint="eastAsia" w:eastAsia="宋体"/>
                <w:bCs/>
              </w:rPr>
              <w:t>O</w:t>
            </w:r>
            <w:r>
              <w:rPr>
                <w:rFonts w:eastAsia="宋体"/>
                <w:bCs/>
              </w:rPr>
              <w:t>ther aspects</w:t>
            </w:r>
          </w:p>
        </w:tc>
        <w:tc>
          <w:tcPr>
            <w:tcW w:w="2126" w:type="dxa"/>
            <w:vMerge w:val="continue"/>
            <w:tcBorders>
              <w:left w:val="nil"/>
              <w:bottom w:val="single" w:color="000000" w:sz="6"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3" w:hRule="atLeast"/>
        </w:trPr>
        <w:tc>
          <w:tcPr>
            <w:tcW w:w="1418" w:type="dxa"/>
            <w:vMerge w:val="restart"/>
            <w:tcBorders>
              <w:top w:val="nil"/>
              <w:left w:val="single" w:color="000000" w:sz="6" w:space="0"/>
              <w:bottom w:val="single" w:color="000000" w:sz="6" w:space="0"/>
              <w:right w:val="single" w:color="000000" w:sz="6" w:space="0"/>
            </w:tcBorders>
          </w:tcPr>
          <w:p>
            <w:pPr>
              <w:autoSpaceDE w:val="0"/>
              <w:autoSpaceDN w:val="0"/>
              <w:adjustRightInd w:val="0"/>
            </w:pPr>
            <w:r>
              <w:rPr>
                <w:rFonts w:eastAsia="宋体"/>
                <w:bCs/>
              </w:rPr>
              <w:t>MR-2</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pPr>
            <w:r>
              <w:t>9.3C NR inter-frequency measurements for SAN</w:t>
            </w:r>
          </w:p>
        </w:tc>
        <w:tc>
          <w:tcPr>
            <w:tcW w:w="4536" w:type="dxa"/>
            <w:tcBorders>
              <w:top w:val="single" w:color="000000" w:sz="6" w:space="0"/>
              <w:left w:val="nil"/>
              <w:bottom w:val="single" w:color="auto" w:sz="4" w:space="0"/>
              <w:right w:val="single" w:color="000000" w:sz="6" w:space="0"/>
            </w:tcBorders>
          </w:tcPr>
          <w:p>
            <w:r>
              <w:rPr>
                <w:highlight w:val="green"/>
              </w:rPr>
              <w:t>With SSB index detection</w:t>
            </w:r>
          </w:p>
        </w:tc>
        <w:tc>
          <w:tcPr>
            <w:tcW w:w="2126" w:type="dxa"/>
            <w:vMerge w:val="restart"/>
            <w:tcBorders>
              <w:top w:val="single" w:color="000000" w:sz="6" w:space="0"/>
              <w:left w:val="nil"/>
              <w:right w:val="single" w:color="000000" w:sz="6" w:space="0"/>
            </w:tcBorders>
          </w:tcPr>
          <w:p>
            <w:r>
              <w:t>The number of SSB samples for Rel-18 NTN measurement requirements (Tidentify_xxx_with_index) can be extended by 4 and 3 for intra-frequency (Es/Iot</w:t>
            </w:r>
            <w:r>
              <w:rPr>
                <w:rFonts w:hint="eastAsia"/>
              </w:rPr>
              <w:t>≥</w:t>
            </w:r>
            <w:r>
              <w:t>-6 dB) and inter-frequency (Es/Iot</w:t>
            </w:r>
            <w:r>
              <w:rPr>
                <w:rFonts w:hint="eastAsia"/>
              </w:rPr>
              <w:t>≥</w:t>
            </w:r>
            <w:r>
              <w:t>-4 dB) respectively.</w:t>
            </w:r>
          </w:p>
          <w:p>
            <w:r>
              <w:t>Same as legacy.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FFS: Non-DRX/DRX</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FFS: No gap</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5"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rPr>
                <w:rFonts w:eastAsia="宋体"/>
                <w:bCs/>
              </w:rPr>
              <w:t xml:space="preserve">FFS: </w:t>
            </w:r>
            <w:r>
              <w:rPr>
                <w:rFonts w:hint="eastAsia" w:eastAsia="宋体"/>
                <w:bCs/>
              </w:rPr>
              <w:t>O</w:t>
            </w:r>
            <w:r>
              <w:rPr>
                <w:rFonts w:eastAsia="宋体"/>
                <w:bCs/>
              </w:rPr>
              <w:t>ther aspects</w:t>
            </w:r>
          </w:p>
        </w:tc>
        <w:tc>
          <w:tcPr>
            <w:tcW w:w="2126" w:type="dxa"/>
            <w:vMerge w:val="continue"/>
            <w:tcBorders>
              <w:left w:val="nil"/>
              <w:bottom w:val="single" w:color="auto" w:sz="4"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5" w:hRule="atLeast"/>
        </w:trPr>
        <w:tc>
          <w:tcPr>
            <w:tcW w:w="1418" w:type="dxa"/>
            <w:tcBorders>
              <w:top w:val="single" w:color="000000" w:sz="6" w:space="0"/>
              <w:left w:val="single" w:color="000000" w:sz="6" w:space="0"/>
              <w:bottom w:val="single" w:color="000000" w:sz="6" w:space="0"/>
              <w:right w:val="single" w:color="000000" w:sz="6" w:space="0"/>
            </w:tcBorders>
          </w:tcPr>
          <w:p>
            <w:pPr>
              <w:autoSpaceDE w:val="0"/>
              <w:autoSpaceDN w:val="0"/>
              <w:adjustRightInd w:val="0"/>
              <w:rPr>
                <w:rFonts w:eastAsia="宋体"/>
                <w:bCs/>
              </w:rPr>
            </w:pPr>
            <w:r>
              <w:rPr>
                <w:rFonts w:hint="eastAsia" w:eastAsia="宋体"/>
                <w:bCs/>
              </w:rPr>
              <w:t>IDLE</w:t>
            </w:r>
            <w:r>
              <w:rPr>
                <w:rFonts w:eastAsia="宋体"/>
                <w:bCs/>
              </w:rPr>
              <w:t>-1</w:t>
            </w:r>
          </w:p>
        </w:tc>
        <w:tc>
          <w:tcPr>
            <w:tcW w:w="1843" w:type="dxa"/>
            <w:tcBorders>
              <w:top w:val="single" w:color="000000" w:sz="6" w:space="0"/>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rPr>
                <w:rFonts w:eastAsia="等线"/>
              </w:rPr>
            </w:pPr>
            <w:r>
              <w:t>4.2C Cell Re-selection for NR UE for Satellite Access</w:t>
            </w:r>
          </w:p>
        </w:tc>
        <w:tc>
          <w:tcPr>
            <w:tcW w:w="4536" w:type="dxa"/>
            <w:tcBorders>
              <w:top w:val="single" w:color="auto" w:sz="4" w:space="0"/>
              <w:left w:val="nil"/>
              <w:bottom w:val="single" w:color="000000" w:sz="6" w:space="0"/>
              <w:right w:val="single" w:color="000000" w:sz="6" w:space="0"/>
            </w:tcBorders>
          </w:tcPr>
          <w:p>
            <w:pPr>
              <w:rPr>
                <w:rFonts w:eastAsia="宋体"/>
                <w:bCs/>
                <w:lang w:eastAsia="zh-CN"/>
              </w:rPr>
            </w:pPr>
            <w:r>
              <w:rPr>
                <w:rFonts w:hint="eastAsia" w:eastAsia="宋体"/>
                <w:bCs/>
                <w:lang w:eastAsia="zh-CN"/>
              </w:rPr>
              <w:t>F</w:t>
            </w:r>
            <w:r>
              <w:rPr>
                <w:rFonts w:eastAsia="宋体"/>
                <w:bCs/>
                <w:lang w:eastAsia="zh-CN"/>
              </w:rPr>
              <w:t>FS</w:t>
            </w:r>
          </w:p>
        </w:tc>
        <w:tc>
          <w:tcPr>
            <w:tcW w:w="2126" w:type="dxa"/>
            <w:tcBorders>
              <w:top w:val="single" w:color="auto" w:sz="4" w:space="0"/>
              <w:left w:val="nil"/>
              <w:bottom w:val="single" w:color="000000" w:sz="6" w:space="0"/>
              <w:right w:val="single" w:color="000000" w:sz="6" w:space="0"/>
            </w:tcBorders>
          </w:tcPr>
          <w:p>
            <w:pPr>
              <w:rPr>
                <w:rFonts w:eastAsia="等线"/>
                <w:lang w:eastAsia="zh-CN"/>
              </w:rPr>
            </w:pPr>
            <w:r>
              <w:rPr>
                <w:rFonts w:hint="eastAsia" w:eastAsia="等线"/>
                <w:lang w:eastAsia="zh-CN"/>
              </w:rPr>
              <w:t>N</w:t>
            </w:r>
            <w:r>
              <w:rPr>
                <w:rFonts w:eastAsia="等线"/>
                <w:lang w:eastAsia="zh-CN"/>
              </w:rPr>
              <w:t>o RRM requirements impact</w:t>
            </w:r>
          </w:p>
        </w:tc>
      </w:tr>
    </w:tbl>
    <w:p>
      <w:pPr>
        <w:spacing w:before="120" w:beforeLines="50" w:after="120" w:afterLines="50"/>
        <w:jc w:val="both"/>
        <w:rPr>
          <w:lang w:val="en-US" w:eastAsia="zh-CN"/>
        </w:rPr>
      </w:pPr>
      <w:r>
        <w:rPr>
          <w:lang w:val="en-US" w:eastAsia="zh-CN"/>
        </w:rPr>
        <w:t>In this paper, we would like to provide the views from our side to remaining issues based on the above table.</w:t>
      </w:r>
    </w:p>
    <w:p>
      <w:pPr>
        <w:pStyle w:val="3"/>
        <w:rPr>
          <w:sz w:val="28"/>
          <w:szCs w:val="18"/>
          <w:lang w:val="en-US" w:eastAsia="zh-CN"/>
        </w:rPr>
      </w:pPr>
      <w:r>
        <w:rPr>
          <w:sz w:val="28"/>
          <w:szCs w:val="18"/>
          <w:lang w:val="en-US" w:eastAsia="zh-CN"/>
        </w:rPr>
        <w:t>Topic 1 Test cases to verify the core requirements reusing NTN</w:t>
      </w:r>
    </w:p>
    <w:p>
      <w:pPr>
        <w:spacing w:before="120" w:beforeLines="50" w:after="120" w:afterLines="50"/>
        <w:jc w:val="both"/>
        <w:rPr>
          <w:lang w:val="en-US" w:eastAsia="zh-CN"/>
        </w:rPr>
      </w:pPr>
      <w:r>
        <w:rPr>
          <w:lang w:val="en-US" w:eastAsia="zh-CN"/>
        </w:rPr>
        <w:t>In the last meeting, we have agreed that the new test cases of cell re-selection for NTN less than 5MHz could be reused. But how to capture the detailed testing configuration and requirements shall be also discussed in this meeting, the following agreements can be seen: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92"/>
              <w:numPr>
                <w:ilvl w:val="0"/>
                <w:numId w:val="5"/>
              </w:numPr>
              <w:snapToGrid w:val="0"/>
              <w:spacing w:after="120"/>
              <w:ind w:firstLineChars="0"/>
              <w:rPr>
                <w:iCs/>
                <w:sz w:val="21"/>
                <w:szCs w:val="21"/>
                <w:highlight w:val="green"/>
              </w:rPr>
            </w:pPr>
            <w:r>
              <w:rPr>
                <w:iCs/>
                <w:sz w:val="21"/>
                <w:szCs w:val="21"/>
                <w:highlight w:val="green"/>
              </w:rPr>
              <w:t xml:space="preserve">Option 1: </w:t>
            </w:r>
            <w:r>
              <w:rPr>
                <w:sz w:val="21"/>
                <w:szCs w:val="21"/>
                <w:highlight w:val="green"/>
              </w:rPr>
              <w:t>captured in the new sub clause in NTN clause</w:t>
            </w:r>
          </w:p>
          <w:p>
            <w:pPr>
              <w:pStyle w:val="92"/>
              <w:numPr>
                <w:ilvl w:val="0"/>
                <w:numId w:val="5"/>
              </w:numPr>
              <w:snapToGrid w:val="0"/>
              <w:spacing w:after="120"/>
              <w:ind w:firstLineChars="0"/>
              <w:rPr>
                <w:iCs/>
                <w:sz w:val="21"/>
                <w:szCs w:val="21"/>
              </w:rPr>
            </w:pPr>
            <w:r>
              <w:rPr>
                <w:iCs/>
                <w:sz w:val="21"/>
                <w:szCs w:val="21"/>
                <w:highlight w:val="green"/>
              </w:rPr>
              <w:t xml:space="preserve">Option 2: </w:t>
            </w:r>
            <w:r>
              <w:rPr>
                <w:sz w:val="21"/>
                <w:szCs w:val="21"/>
                <w:highlight w:val="green"/>
              </w:rPr>
              <w:t>an additional test configuration in the exsiting sub clause for NTN</w:t>
            </w:r>
          </w:p>
        </w:tc>
      </w:tr>
    </w:tbl>
    <w:p>
      <w:pPr>
        <w:spacing w:before="120" w:beforeLines="50" w:after="120" w:afterLines="50"/>
        <w:jc w:val="both"/>
        <w:rPr>
          <w:lang w:val="en-US" w:eastAsia="zh-CN"/>
        </w:rPr>
      </w:pPr>
      <w:r>
        <w:rPr>
          <w:lang w:val="en-US" w:eastAsia="zh-CN"/>
        </w:rPr>
        <w:t>Actually, we agree with option 1, which the details shall be captured in the new sub clause in NTN clause. we have two points to support option 1:</w:t>
      </w:r>
    </w:p>
    <w:p>
      <w:pPr>
        <w:spacing w:before="120" w:beforeLines="50" w:after="120" w:afterLines="50"/>
        <w:jc w:val="both"/>
        <w:rPr>
          <w:lang w:val="en-US" w:eastAsia="zh-CN"/>
        </w:rPr>
      </w:pPr>
      <w:r>
        <w:rPr>
          <w:lang w:val="en-US" w:eastAsia="zh-CN"/>
        </w:rPr>
        <w:t>1.﷒Based on the existing test cases on “Cell re-selection to FR1 intra-frequency NR case” and “Cell re-selection to FR1 intra-frequency NR cell for UE configured with the feature for enhanced requirements” in clause A.14, the difference is the test requirement, which depends on whether the  UE is configured with “</w:t>
      </w:r>
      <w:r>
        <w:rPr>
          <w:i/>
        </w:rPr>
        <w:t>enhancedMeasurementNGSO-r17</w:t>
      </w:r>
      <w:r>
        <w:rPr>
          <w:lang w:val="en-US" w:eastAsia="zh-CN"/>
        </w:rPr>
        <w:t>”. We observed that the test procedure is totally same including test parameters, but RAN4 defined the different clauses. If we follow the same logic, the new sub clause in NTN clause shall be applied since T</w:t>
      </w:r>
      <w:r>
        <w:rPr>
          <w:vertAlign w:val="subscript"/>
          <w:lang w:val="en-US" w:eastAsia="zh-CN"/>
        </w:rPr>
        <w:t>SI-NR</w:t>
      </w:r>
      <w:r>
        <w:rPr>
          <w:lang w:val="en-US" w:eastAsia="zh-CN"/>
        </w:rPr>
        <w:t xml:space="preserve"> in test requirement is different from legacy. </w:t>
      </w:r>
    </w:p>
    <w:p>
      <w:pPr>
        <w:spacing w:before="120" w:beforeLines="50" w:after="120" w:afterLines="50"/>
        <w:jc w:val="both"/>
        <w:rPr>
          <w:lang w:val="en-US" w:eastAsia="zh-CN"/>
        </w:rPr>
      </w:pPr>
      <w:r>
        <w:rPr>
          <w:lang w:val="en-US" w:eastAsia="zh-CN"/>
        </w:rPr>
        <w:t xml:space="preserve">2.  If option 1 applies, the different feature has clear clarification on test cases. The same method as RedCap NTN in WI [NTN Phase 3], which has also introduced a new clause.  </w:t>
      </w:r>
    </w:p>
    <w:p>
      <w:pPr>
        <w:spacing w:before="120" w:beforeLines="50" w:after="120" w:afterLines="50"/>
        <w:jc w:val="both"/>
        <w:rPr>
          <w:lang w:val="en-US" w:eastAsia="zh-CN"/>
        </w:rPr>
      </w:pPr>
      <w:r>
        <w:rPr>
          <w:lang w:val="en-US" w:eastAsia="zh-CN"/>
        </w:rPr>
        <w:t>Above all, we think option1 is more proper for new test cases of cell re-selection for NTN less than 5MHz.</w:t>
      </w:r>
    </w:p>
    <w:p>
      <w:pPr>
        <w:spacing w:before="120" w:beforeLines="50" w:after="120" w:afterLines="50"/>
        <w:jc w:val="both"/>
        <w:rPr>
          <w:b/>
          <w:lang w:val="en-US" w:eastAsia="zh-CN"/>
        </w:rPr>
      </w:pPr>
      <w:r>
        <w:rPr>
          <w:b/>
          <w:lang w:val="en-US" w:eastAsia="zh-CN"/>
        </w:rPr>
        <w:t>Observation 1: The existing test cases on “Cell re-selection tp FR1 intra-frequency NR case” and “Cell re-selection to FR1 intra-frequency NR cell for UE configured with the feature for enhanced requirements” have different sub clauses in NTN clause.</w:t>
      </w:r>
    </w:p>
    <w:p>
      <w:pPr>
        <w:spacing w:before="120" w:beforeLines="50" w:after="120" w:afterLines="50"/>
        <w:jc w:val="both"/>
        <w:rPr>
          <w:b/>
          <w:lang w:val="en-US" w:eastAsia="zh-CN"/>
        </w:rPr>
      </w:pPr>
      <w:r>
        <w:rPr>
          <w:b/>
          <w:lang w:val="en-US" w:eastAsia="zh-CN"/>
        </w:rPr>
        <w:t>Observation 2: If option 1 applies, the different feature has clear clarification on test cases. The same method as RedCap NTN in WI [NTN Phase 3], which has also introduced a new clause.</w:t>
      </w:r>
    </w:p>
    <w:p>
      <w:pPr>
        <w:spacing w:before="120" w:beforeLines="50" w:after="120" w:afterLines="50"/>
        <w:jc w:val="both"/>
        <w:rPr>
          <w:b/>
          <w:lang w:val="en-US" w:eastAsia="zh-CN"/>
        </w:rPr>
      </w:pPr>
      <w:r>
        <w:rPr>
          <w:b/>
          <w:lang w:val="en-US" w:eastAsia="zh-CN"/>
        </w:rPr>
        <w:t>Proposal 1: The detailed testing configuration and requirements of cell re-selection shall be captured in the new sub clause in NTN clause.</w:t>
      </w:r>
    </w:p>
    <w:p>
      <w:pPr>
        <w:pStyle w:val="3"/>
        <w:rPr>
          <w:sz w:val="28"/>
          <w:szCs w:val="18"/>
          <w:lang w:val="en-US" w:eastAsia="zh-CN"/>
        </w:rPr>
      </w:pPr>
      <w:r>
        <w:rPr>
          <w:sz w:val="28"/>
          <w:szCs w:val="18"/>
          <w:lang w:val="en-US" w:eastAsia="zh-CN"/>
        </w:rPr>
        <w:t>Topic 2 Test cases configurations</w:t>
      </w:r>
    </w:p>
    <w:p>
      <w:pPr>
        <w:spacing w:before="120" w:beforeLines="50" w:after="120" w:afterLines="50"/>
        <w:jc w:val="both"/>
        <w:rPr>
          <w:lang w:val="en-US" w:eastAsia="zh-CN"/>
        </w:rPr>
      </w:pPr>
      <w:r>
        <w:rPr>
          <w:lang w:val="en-US" w:eastAsia="zh-CN"/>
        </w:rPr>
        <w:t xml:space="preserve">we have agreed the part of test cases configuration, the remaining configuration shall be discussed in this meeting based on above table.  </w:t>
      </w:r>
    </w:p>
    <w:p>
      <w:pPr>
        <w:spacing w:before="120" w:beforeLines="50" w:after="120" w:afterLines="50"/>
        <w:jc w:val="both"/>
        <w:rPr>
          <w:lang w:val="en-US" w:eastAsia="zh-CN" w:bidi="ar"/>
        </w:rPr>
      </w:pPr>
      <w:r>
        <w:rPr>
          <w:lang w:val="en-US" w:eastAsia="zh-CN"/>
        </w:rPr>
        <w:t>For Handover,</w:t>
      </w:r>
      <w:r>
        <w:rPr>
          <w:rFonts w:hint="eastAsia" w:eastAsiaTheme="minorEastAsia"/>
          <w:lang w:val="en-US" w:eastAsia="zh-CN"/>
        </w:rPr>
        <w:t xml:space="preserve"> </w:t>
      </w:r>
      <w:r>
        <w:rPr>
          <w:lang w:val="en-US" w:eastAsia="zh-CN"/>
        </w:rPr>
        <w:t xml:space="preserve">we have RACH-based handover and RACH-less handover, </w:t>
      </w:r>
      <w:r>
        <w:rPr>
          <w:rFonts w:hint="eastAsia"/>
          <w:lang w:val="en-US" w:eastAsia="zh-CN" w:bidi="ar"/>
        </w:rPr>
        <w:t>we suggest not to test every case since we know that the Tsearch and Tdelta is the same defined in core requirements.</w:t>
      </w:r>
      <w:r>
        <w:rPr>
          <w:lang w:val="en-US" w:eastAsia="zh-CN" w:bidi="ar"/>
        </w:rPr>
        <w:t xml:space="preserve"> Thus , we shall only consider RACH-based case when defining test cases on handover.</w:t>
      </w:r>
    </w:p>
    <w:p>
      <w:pPr>
        <w:spacing w:before="120" w:beforeLines="50" w:after="120" w:afterLines="50"/>
        <w:jc w:val="both"/>
        <w:rPr>
          <w:b/>
          <w:lang w:val="en-US" w:eastAsia="zh-CN" w:bidi="ar"/>
        </w:rPr>
      </w:pPr>
      <w:r>
        <w:rPr>
          <w:b/>
          <w:lang w:val="en-US" w:eastAsia="zh-CN" w:bidi="ar"/>
        </w:rPr>
        <w:t xml:space="preserve">Observation 3: </w:t>
      </w:r>
      <w:r>
        <w:rPr>
          <w:rFonts w:hint="eastAsia"/>
          <w:b/>
          <w:lang w:val="en-US" w:eastAsia="zh-CN" w:bidi="ar"/>
        </w:rPr>
        <w:t>Tsearch and Tdelta a</w:t>
      </w:r>
      <w:r>
        <w:rPr>
          <w:b/>
          <w:lang w:val="en-US" w:eastAsia="zh-CN" w:bidi="ar"/>
        </w:rPr>
        <w:t>re</w:t>
      </w:r>
      <w:r>
        <w:rPr>
          <w:rFonts w:hint="eastAsia"/>
          <w:b/>
          <w:lang w:val="en-US" w:eastAsia="zh-CN" w:bidi="ar"/>
        </w:rPr>
        <w:t xml:space="preserve"> the same </w:t>
      </w:r>
      <w:r>
        <w:rPr>
          <w:b/>
          <w:lang w:val="en-US" w:eastAsia="zh-CN" w:bidi="ar"/>
        </w:rPr>
        <w:t xml:space="preserve">between RACH-based and RACH-less andover </w:t>
      </w:r>
      <w:r>
        <w:rPr>
          <w:rFonts w:hint="eastAsia"/>
          <w:b/>
          <w:lang w:val="en-US" w:eastAsia="zh-CN" w:bidi="ar"/>
        </w:rPr>
        <w:t>defined in core requirements</w:t>
      </w:r>
      <w:r>
        <w:rPr>
          <w:b/>
          <w:lang w:val="en-US" w:eastAsia="zh-CN" w:bidi="ar"/>
        </w:rPr>
        <w:t>.</w:t>
      </w:r>
    </w:p>
    <w:p>
      <w:pPr>
        <w:spacing w:before="120" w:beforeLines="50" w:after="120" w:afterLines="50"/>
        <w:jc w:val="both"/>
        <w:rPr>
          <w:b/>
          <w:lang w:val="en-US" w:eastAsia="zh-CN" w:bidi="ar"/>
        </w:rPr>
      </w:pPr>
      <w:r>
        <w:rPr>
          <w:b/>
          <w:lang w:val="en-US" w:eastAsia="zh-CN" w:bidi="ar"/>
        </w:rPr>
        <w:t>Proposal 2: Only RACH-based handover test configuration shall be defined.</w:t>
      </w:r>
    </w:p>
    <w:p>
      <w:pPr>
        <w:spacing w:before="120" w:beforeLines="50" w:after="120" w:afterLines="50"/>
        <w:jc w:val="both"/>
        <w:rPr>
          <w:lang w:val="en-US" w:eastAsia="zh-CN" w:bidi="ar"/>
        </w:rPr>
      </w:pPr>
      <w:r>
        <w:rPr>
          <w:lang w:val="en-US" w:eastAsia="zh-CN" w:bidi="ar"/>
        </w:rPr>
        <w:t>For Conditional Handover, we have already agreed with defining time-based, intra-frequency unknown target cell. In core parts, CHO with L3 measurement and without L3 measurement shall be both considered. Since the core requirements are totally different. We observed that Tmeasure only exists in L3 measurement, Tdelta has different values. To our opinion, the test configuration for CHO with L3 measurement and CHO without L3 measurement shall be both considered.</w:t>
      </w:r>
    </w:p>
    <w:p>
      <w:pPr>
        <w:spacing w:before="120" w:beforeLines="50" w:after="120" w:afterLines="50"/>
        <w:jc w:val="both"/>
        <w:rPr>
          <w:b/>
          <w:lang w:val="en-US" w:eastAsia="zh-CN" w:bidi="ar"/>
        </w:rPr>
      </w:pPr>
      <w:r>
        <w:rPr>
          <w:b/>
          <w:lang w:val="en-US" w:eastAsia="zh-CN" w:bidi="ar"/>
        </w:rPr>
        <w:t>Observation 4:  The core requirements are totally different between CHO with L3 measurement and CHO without L3 measurement.</w:t>
      </w:r>
    </w:p>
    <w:p>
      <w:pPr>
        <w:spacing w:before="120" w:beforeLines="50" w:after="120" w:afterLines="50"/>
        <w:jc w:val="both"/>
        <w:rPr>
          <w:b/>
          <w:lang w:val="en-US" w:eastAsia="zh-CN" w:bidi="ar"/>
        </w:rPr>
      </w:pPr>
      <w:r>
        <w:rPr>
          <w:b/>
          <w:lang w:val="en-US" w:eastAsia="zh-CN" w:bidi="ar"/>
        </w:rPr>
        <w:t>Proposal 3: The test configuration for CHO with L3 measurement and CHO without L3 measurement shall be both studied.</w:t>
      </w:r>
    </w:p>
    <w:p>
      <w:pPr>
        <w:spacing w:before="120" w:beforeLines="50" w:after="120"/>
        <w:jc w:val="both"/>
        <w:rPr>
          <w:lang w:val="en-US" w:eastAsia="zh-CN" w:bidi="ar"/>
        </w:rPr>
      </w:pPr>
      <w:r>
        <w:rPr>
          <w:rFonts w:hint="eastAsia"/>
          <w:lang w:val="en-US" w:eastAsia="zh-CN" w:bidi="ar"/>
        </w:rPr>
        <w:t xml:space="preserve">For satellite switch in NTN, test cases are defined for hard satellite switch and soft satellite switch. </w:t>
      </w:r>
      <w:r>
        <w:rPr>
          <w:lang w:val="en-US" w:eastAsia="zh-CN" w:bidi="ar"/>
        </w:rPr>
        <w:t>The</w:t>
      </w:r>
      <w:r>
        <w:rPr>
          <w:rFonts w:hint="eastAsia"/>
          <w:lang w:val="en-US" w:eastAsia="zh-CN" w:bidi="ar"/>
        </w:rPr>
        <w:t xml:space="preserve"> legacy UE capability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bCs/>
                <w:i/>
                <w:iCs/>
                <w:lang w:val="en-US"/>
              </w:rPr>
            </w:pPr>
            <w:r>
              <w:rPr>
                <w:rFonts w:ascii="Arial" w:hAnsi="Arial"/>
                <w:b/>
                <w:bCs/>
                <w:i/>
                <w:iCs/>
                <w:sz w:val="18"/>
                <w:lang w:val="en-US" w:eastAsia="zh-CN" w:bidi="ar"/>
              </w:rPr>
              <w:t>softSatelliteSwitchResyncNTN-r18</w:t>
            </w:r>
          </w:p>
          <w:p>
            <w:pPr>
              <w:rPr>
                <w:lang w:val="en-US"/>
              </w:rPr>
            </w:pPr>
            <w:r>
              <w:rPr>
                <w:rFonts w:ascii="Arial" w:hAnsi="Arial"/>
                <w:sz w:val="18"/>
                <w:lang w:val="en-US" w:eastAsia="zh-CN" w:bidi="ar"/>
              </w:rPr>
              <w:t>Indicates whether UE supports soft satellite switch with re-sync, as specified in TS 38.331 [9].</w:t>
            </w:r>
          </w:p>
          <w:p>
            <w:pPr>
              <w:spacing w:after="0"/>
              <w:rPr>
                <w:lang w:val="en-US" w:eastAsia="zh-CN" w:bidi="ar"/>
              </w:rPr>
            </w:pPr>
            <w:r>
              <w:rPr>
                <w:lang w:val="en-US" w:eastAsia="zh-CN" w:bidi="ar"/>
              </w:rPr>
              <w:t xml:space="preserve">A UE supporting this feature shall also indicate support of </w:t>
            </w:r>
            <w:r>
              <w:rPr>
                <w:i/>
                <w:iCs/>
                <w:lang w:val="en-US" w:eastAsia="zh-CN" w:bidi="ar"/>
              </w:rPr>
              <w:t>hardSatelliteSwitchResyncNTN-r18.</w:t>
            </w:r>
          </w:p>
        </w:tc>
      </w:tr>
    </w:tbl>
    <w:p>
      <w:pPr>
        <w:spacing w:before="120" w:beforeLines="50" w:after="120"/>
        <w:jc w:val="both"/>
      </w:pPr>
      <w:r>
        <w:rPr>
          <w:rFonts w:hint="eastAsia"/>
          <w:lang w:val="en-US" w:eastAsia="zh-CN" w:bidi="ar"/>
        </w:rPr>
        <w:t>Based on above UE capability, UE supporting soft switch will also support hard satellite switch. Consequently, we prefer to consider soft satellite switch which can cover hard satellite switch.</w:t>
      </w:r>
      <w:r>
        <w:rPr>
          <w:lang w:val="en-US" w:eastAsia="zh-CN" w:bidi="ar"/>
        </w:rPr>
        <w:t xml:space="preserve"> If only hard switch is tested, how do we test the duration </w:t>
      </w:r>
      <w:r>
        <w:rPr>
          <w:i/>
        </w:rPr>
        <w:t>t-service</w:t>
      </w:r>
      <w:r>
        <w:t>-</w:t>
      </w:r>
      <w:r>
        <w:rPr>
          <w:i/>
        </w:rPr>
        <w:t>t-seviceStart</w:t>
      </w:r>
      <w:r>
        <w:t>. From our perspective, soft satellite shall be tested.</w:t>
      </w:r>
    </w:p>
    <w:p>
      <w:pPr>
        <w:spacing w:before="120" w:beforeLines="50" w:after="120"/>
        <w:jc w:val="both"/>
        <w:rPr>
          <w:b/>
          <w:lang w:val="en-US" w:eastAsia="zh-CN" w:bidi="ar"/>
        </w:rPr>
      </w:pPr>
      <w:r>
        <w:rPr>
          <w:b/>
        </w:rPr>
        <w:t xml:space="preserve">Observation 5: </w:t>
      </w:r>
      <w:r>
        <w:rPr>
          <w:b/>
          <w:lang w:val="en-US" w:eastAsia="zh-CN" w:bidi="ar"/>
        </w:rPr>
        <w:t xml:space="preserve"> </w:t>
      </w:r>
      <w:r>
        <w:rPr>
          <w:rFonts w:hint="eastAsia"/>
          <w:b/>
          <w:lang w:val="en-US" w:eastAsia="zh-CN" w:bidi="ar"/>
        </w:rPr>
        <w:t>UE supporting soft switch will also support hard satellite switch.</w:t>
      </w:r>
    </w:p>
    <w:p>
      <w:pPr>
        <w:spacing w:before="120" w:beforeLines="50" w:after="120"/>
        <w:jc w:val="both"/>
        <w:rPr>
          <w:b/>
          <w:lang w:val="en-US" w:eastAsia="zh-CN" w:bidi="ar"/>
        </w:rPr>
      </w:pPr>
      <w:r>
        <w:rPr>
          <w:b/>
          <w:lang w:val="en-US" w:eastAsia="zh-CN" w:bidi="ar"/>
        </w:rPr>
        <w:t>Proposal 4: For satellite switch in NTN, soft satellite switch shall be tested.</w:t>
      </w:r>
    </w:p>
    <w:p>
      <w:pPr>
        <w:spacing w:before="120" w:beforeLines="50" w:after="120"/>
        <w:jc w:val="both"/>
        <w:rPr>
          <w:rFonts w:eastAsiaTheme="minorEastAsia"/>
          <w:lang w:val="en-US" w:eastAsia="zh-CN" w:bidi="ar"/>
        </w:rPr>
      </w:pPr>
      <w:r>
        <w:rPr>
          <w:rFonts w:hint="eastAsia" w:eastAsiaTheme="minorEastAsia"/>
          <w:lang w:val="en-US" w:eastAsia="zh-CN" w:bidi="ar"/>
        </w:rPr>
        <w:t>F</w:t>
      </w:r>
      <w:r>
        <w:rPr>
          <w:rFonts w:eastAsiaTheme="minorEastAsia"/>
          <w:lang w:val="en-US" w:eastAsia="zh-CN" w:bidi="ar"/>
        </w:rPr>
        <w:t xml:space="preserve">or Radio Link Monitoring, RAN4 has already agreed that the PDCCH transmission bandwidth is 15PRBs and 12PRBs for SSB/PBCH assumption. In current spec, it says “the requirements in clause 8.1C apply for radio link monitoring on PCell </w:t>
      </w:r>
      <w:r>
        <w:rPr>
          <w:rFonts w:hint="eastAsia" w:eastAsiaTheme="minorEastAsia"/>
          <w:lang w:val="en-US" w:eastAsia="zh-CN" w:bidi="ar"/>
        </w:rPr>
        <w:t>and</w:t>
      </w:r>
      <w:r>
        <w:rPr>
          <w:rFonts w:eastAsiaTheme="minorEastAsia"/>
          <w:lang w:val="en-US" w:eastAsia="zh-CN" w:bidi="ar"/>
        </w:rPr>
        <w:t xml:space="preserve"> the UE is configured with only PCell”, the same situation for NTN less than 5MHz</w:t>
      </w:r>
      <w:r>
        <w:rPr>
          <w:rFonts w:hint="eastAsia" w:eastAsiaTheme="minorEastAsia"/>
          <w:lang w:val="en-US" w:eastAsia="zh-CN" w:bidi="ar"/>
        </w:rPr>
        <w:t>.</w:t>
      </w:r>
      <w:r>
        <w:rPr>
          <w:rFonts w:eastAsiaTheme="minorEastAsia"/>
          <w:lang w:val="en-US" w:eastAsia="zh-CN" w:bidi="ar"/>
        </w:rPr>
        <w:t xml:space="preserve"> </w:t>
      </w:r>
    </w:p>
    <w:p>
      <w:pPr>
        <w:spacing w:before="120" w:beforeLines="50" w:after="120"/>
        <w:jc w:val="both"/>
        <w:rPr>
          <w:rFonts w:eastAsiaTheme="minorEastAsia"/>
          <w:lang w:val="en-US" w:eastAsia="zh-CN" w:bidi="ar"/>
        </w:rPr>
      </w:pPr>
      <w:r>
        <w:rPr>
          <w:rFonts w:eastAsiaTheme="minorEastAsia"/>
          <w:lang w:val="en-US" w:eastAsia="zh-CN" w:bidi="ar"/>
        </w:rPr>
        <w:t>The last aspect is whether the DRX is needed or not, we found the test cases for less than 5MHz in TN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92"/>
              <w:ind w:firstLineChars="0"/>
              <w:contextualSpacing/>
              <w:rPr>
                <w:rFonts w:eastAsiaTheme="minorEastAsia"/>
                <w:sz w:val="20"/>
                <w:szCs w:val="20"/>
                <w:lang w:bidi="ar"/>
              </w:rPr>
            </w:pPr>
            <w:r>
              <w:rPr>
                <w:rFonts w:eastAsiaTheme="minorEastAsia"/>
                <w:sz w:val="20"/>
                <w:szCs w:val="20"/>
                <w:lang w:bidi="ar"/>
              </w:rPr>
              <w:t>A.6.5.1.13</w:t>
            </w:r>
            <w:r>
              <w:rPr>
                <w:rFonts w:eastAsiaTheme="minorEastAsia"/>
                <w:sz w:val="20"/>
                <w:szCs w:val="20"/>
                <w:lang w:bidi="ar"/>
              </w:rPr>
              <w:tab/>
            </w:r>
            <w:r>
              <w:rPr>
                <w:rFonts w:eastAsiaTheme="minorEastAsia"/>
                <w:sz w:val="20"/>
                <w:szCs w:val="20"/>
                <w:lang w:bidi="ar"/>
              </w:rPr>
              <w:t xml:space="preserve"> Radio Link Monitoring Out-of-sync Test for FR1 PCell configured with SSB-based RLM RS </w:t>
            </w:r>
            <w:r>
              <w:rPr>
                <w:rFonts w:eastAsiaTheme="minorEastAsia"/>
                <w:sz w:val="20"/>
                <w:szCs w:val="20"/>
                <w:highlight w:val="yellow"/>
                <w:lang w:bidi="ar"/>
              </w:rPr>
              <w:t>in DRX mode</w:t>
            </w:r>
            <w:r>
              <w:rPr>
                <w:rFonts w:eastAsiaTheme="minorEastAsia"/>
                <w:sz w:val="20"/>
                <w:szCs w:val="20"/>
                <w:lang w:bidi="ar"/>
              </w:rPr>
              <w:t xml:space="preserve"> for UE operating on a cell with less than 5 MHz BW</w:t>
            </w:r>
          </w:p>
          <w:p>
            <w:pPr>
              <w:pStyle w:val="92"/>
              <w:ind w:firstLineChars="0"/>
              <w:contextualSpacing/>
              <w:rPr>
                <w:rFonts w:hint="eastAsia"/>
              </w:rPr>
            </w:pPr>
            <w:r>
              <w:rPr>
                <w:rFonts w:eastAsiaTheme="minorEastAsia"/>
                <w:sz w:val="20"/>
                <w:szCs w:val="20"/>
                <w:lang w:bidi="ar"/>
              </w:rPr>
              <w:t>A.6.5.1.14</w:t>
            </w:r>
            <w:r>
              <w:rPr>
                <w:rFonts w:eastAsiaTheme="minorEastAsia"/>
                <w:sz w:val="20"/>
                <w:szCs w:val="20"/>
                <w:lang w:bidi="ar"/>
              </w:rPr>
              <w:tab/>
            </w:r>
            <w:r>
              <w:rPr>
                <w:rFonts w:eastAsiaTheme="minorEastAsia"/>
                <w:sz w:val="20"/>
                <w:szCs w:val="20"/>
                <w:lang w:bidi="ar"/>
              </w:rPr>
              <w:t xml:space="preserve"> Radio Link Monitoring Out-of-sync Test for FR1 PCell configured with SSB-based RLM RS </w:t>
            </w:r>
            <w:r>
              <w:rPr>
                <w:rFonts w:eastAsiaTheme="minorEastAsia"/>
                <w:sz w:val="20"/>
                <w:szCs w:val="20"/>
                <w:highlight w:val="yellow"/>
                <w:lang w:bidi="ar"/>
              </w:rPr>
              <w:t>in non-DRX mode</w:t>
            </w:r>
            <w:r>
              <w:rPr>
                <w:rFonts w:eastAsiaTheme="minorEastAsia"/>
                <w:sz w:val="20"/>
                <w:szCs w:val="20"/>
                <w:lang w:bidi="ar"/>
              </w:rPr>
              <w:t xml:space="preserve"> for UE operating on a cell with less than 5 MHz BW</w:t>
            </w:r>
          </w:p>
        </w:tc>
      </w:tr>
    </w:tbl>
    <w:p>
      <w:pPr>
        <w:spacing w:before="120" w:beforeLines="50" w:after="120"/>
        <w:jc w:val="both"/>
        <w:rPr>
          <w:rFonts w:eastAsiaTheme="minorEastAsia"/>
          <w:lang w:val="en-US" w:eastAsia="zh-CN" w:bidi="ar"/>
        </w:rPr>
      </w:pPr>
      <w:r>
        <w:rPr>
          <w:rFonts w:eastAsiaTheme="minorEastAsia"/>
          <w:lang w:val="en-US" w:eastAsia="zh-CN" w:bidi="ar"/>
        </w:rPr>
        <w:t>We strongly suggest that the same manner on DRX mode or non-DRX mode shall be followed as above.</w:t>
      </w:r>
    </w:p>
    <w:p>
      <w:pPr>
        <w:spacing w:before="120" w:beforeLines="50" w:after="120"/>
        <w:jc w:val="both"/>
        <w:rPr>
          <w:rFonts w:eastAsiaTheme="minorEastAsia"/>
          <w:b/>
          <w:lang w:val="en-US" w:eastAsia="zh-CN" w:bidi="ar"/>
        </w:rPr>
      </w:pPr>
      <w:r>
        <w:rPr>
          <w:rFonts w:eastAsiaTheme="minorEastAsia"/>
          <w:b/>
          <w:lang w:val="en-US" w:eastAsia="zh-CN" w:bidi="ar"/>
        </w:rPr>
        <w:t>Observation 6: RAN4 has already agreed that the PDCCH transmission bandwidth is 15PRBs and 12PRBs for SSB/PBCH assumption.</w:t>
      </w:r>
    </w:p>
    <w:p>
      <w:pPr>
        <w:spacing w:before="120" w:beforeLines="50" w:after="120"/>
        <w:jc w:val="both"/>
        <w:rPr>
          <w:rFonts w:eastAsiaTheme="minorEastAsia"/>
          <w:b/>
          <w:lang w:val="en-US" w:eastAsia="zh-CN" w:bidi="ar"/>
        </w:rPr>
      </w:pPr>
      <w:r>
        <w:rPr>
          <w:rFonts w:eastAsiaTheme="minorEastAsia"/>
          <w:b/>
          <w:lang w:val="en-US" w:eastAsia="zh-CN" w:bidi="ar"/>
        </w:rPr>
        <w:t xml:space="preserve">Observation 7: In current spec, it says “the requirements in clause 8.1C apply for radio link monitoring on PCell </w:t>
      </w:r>
      <w:r>
        <w:rPr>
          <w:rFonts w:hint="eastAsia" w:eastAsiaTheme="minorEastAsia"/>
          <w:b/>
          <w:lang w:val="en-US" w:eastAsia="zh-CN" w:bidi="ar"/>
        </w:rPr>
        <w:t>and</w:t>
      </w:r>
      <w:r>
        <w:rPr>
          <w:rFonts w:eastAsiaTheme="minorEastAsia"/>
          <w:b/>
          <w:lang w:val="en-US" w:eastAsia="zh-CN" w:bidi="ar"/>
        </w:rPr>
        <w:t xml:space="preserve"> the UE is configured with only PCell”.</w:t>
      </w:r>
    </w:p>
    <w:p>
      <w:pPr>
        <w:spacing w:before="120" w:beforeLines="50" w:after="120"/>
        <w:jc w:val="both"/>
        <w:rPr>
          <w:rFonts w:eastAsiaTheme="minorEastAsia"/>
          <w:b/>
          <w:lang w:val="en-US" w:eastAsia="zh-CN" w:bidi="ar"/>
        </w:rPr>
      </w:pPr>
      <w:r>
        <w:rPr>
          <w:rFonts w:eastAsiaTheme="minorEastAsia"/>
          <w:b/>
          <w:lang w:val="en-US" w:eastAsia="zh-CN" w:bidi="ar"/>
        </w:rPr>
        <w:t>Observation 8: For less than 5MHz in TN, RLM OOS used the DRX mode and IS used the non-DRX mode.</w:t>
      </w:r>
    </w:p>
    <w:p>
      <w:pPr>
        <w:spacing w:before="120" w:beforeLines="50" w:after="120"/>
        <w:jc w:val="both"/>
        <w:rPr>
          <w:rFonts w:eastAsiaTheme="minorEastAsia"/>
          <w:b/>
          <w:lang w:val="en-US" w:eastAsia="zh-CN" w:bidi="ar"/>
        </w:rPr>
      </w:pPr>
      <w:r>
        <w:rPr>
          <w:rFonts w:eastAsiaTheme="minorEastAsia"/>
          <w:b/>
          <w:lang w:val="en-US" w:eastAsia="zh-CN" w:bidi="ar"/>
        </w:rPr>
        <w:t>Proposal 5: For RLM, we raise the following test configurations: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before="120" w:beforeLines="50" w:after="120"/>
              <w:jc w:val="both"/>
              <w:rPr>
                <w:rFonts w:eastAsiaTheme="minorEastAsia"/>
                <w:b/>
                <w:lang w:val="en-US" w:eastAsia="zh-CN" w:bidi="ar"/>
              </w:rPr>
            </w:pPr>
            <w:r>
              <w:rPr>
                <w:rFonts w:hint="eastAsia" w:eastAsiaTheme="minorEastAsia"/>
                <w:b/>
                <w:lang w:val="en-US" w:eastAsia="zh-CN" w:bidi="ar"/>
              </w:rPr>
              <w:t>R</w:t>
            </w:r>
            <w:r>
              <w:rPr>
                <w:rFonts w:eastAsiaTheme="minorEastAsia"/>
                <w:b/>
                <w:lang w:val="en-US" w:eastAsia="zh-CN" w:bidi="ar"/>
              </w:rPr>
              <w:t>LM-1: FR1 PCell only, in DRX mode, 15PRB PDCCH and 12 PRB SSB</w:t>
            </w:r>
          </w:p>
          <w:p>
            <w:pPr>
              <w:spacing w:before="120" w:beforeLines="50" w:after="120"/>
              <w:jc w:val="both"/>
              <w:rPr>
                <w:rFonts w:eastAsiaTheme="minorEastAsia"/>
                <w:b/>
                <w:lang w:val="en-US" w:eastAsia="zh-CN" w:bidi="ar"/>
              </w:rPr>
            </w:pPr>
            <w:r>
              <w:rPr>
                <w:rFonts w:eastAsiaTheme="minorEastAsia"/>
                <w:b/>
                <w:lang w:val="en-US" w:eastAsia="zh-CN" w:bidi="ar"/>
              </w:rPr>
              <w:t>RLM-2: FR1 PCell only, in non-DRX mode, 15PRB PDCCH and 12 PRB SSB</w:t>
            </w:r>
          </w:p>
        </w:tc>
      </w:tr>
    </w:tbl>
    <w:p>
      <w:pPr>
        <w:spacing w:before="120" w:beforeLines="50" w:after="120"/>
        <w:jc w:val="both"/>
        <w:rPr>
          <w:rFonts w:eastAsiaTheme="minorEastAsia"/>
          <w:lang w:val="en-US" w:eastAsia="zh-CN" w:bidi="ar"/>
        </w:rPr>
      </w:pPr>
      <w:r>
        <w:rPr>
          <w:rFonts w:eastAsiaTheme="minorEastAsia"/>
          <w:lang w:val="en-US" w:eastAsia="zh-CN" w:bidi="ar"/>
        </w:rPr>
        <w:t>For BFR, the same situation in RLM. Consequently, we propose the following:</w:t>
      </w:r>
    </w:p>
    <w:p>
      <w:pPr>
        <w:spacing w:before="120" w:beforeLines="50" w:after="120"/>
        <w:jc w:val="both"/>
        <w:rPr>
          <w:rFonts w:eastAsiaTheme="minorEastAsia"/>
          <w:b/>
          <w:lang w:val="en-US" w:eastAsia="zh-CN" w:bidi="ar"/>
        </w:rPr>
      </w:pPr>
      <w:r>
        <w:rPr>
          <w:rFonts w:eastAsiaTheme="minorEastAsia"/>
          <w:b/>
          <w:lang w:val="en-US" w:eastAsia="zh-CN" w:bidi="ar"/>
        </w:rPr>
        <w:t>Proposal 6: For BFR-1,the test configuration shall include FR1 PCell only, 15PRB PDCCH and 12PRB SSB in non-DRX mode.</w:t>
      </w:r>
    </w:p>
    <w:p>
      <w:pPr>
        <w:spacing w:before="120" w:beforeLines="50" w:after="120"/>
        <w:jc w:val="both"/>
        <w:rPr>
          <w:rFonts w:hint="eastAsia" w:eastAsiaTheme="minorEastAsia"/>
          <w:lang w:val="en-US" w:eastAsia="zh-CN" w:bidi="ar"/>
        </w:rPr>
      </w:pPr>
      <w:r>
        <w:rPr>
          <w:rFonts w:eastAsiaTheme="minorEastAsia"/>
          <w:lang w:val="en-US" w:eastAsia="zh-CN" w:bidi="ar"/>
        </w:rPr>
        <w:t>F</w:t>
      </w:r>
      <w:r>
        <w:rPr>
          <w:rFonts w:hint="eastAsia" w:eastAsiaTheme="minorEastAsia"/>
          <w:lang w:val="en-US" w:eastAsia="zh-CN" w:bidi="ar"/>
        </w:rPr>
        <w:t>or</w:t>
      </w:r>
      <w:r>
        <w:rPr>
          <w:rFonts w:eastAsiaTheme="minorEastAsia"/>
          <w:lang w:val="en-US" w:eastAsia="zh-CN" w:bidi="ar"/>
        </w:rPr>
        <w:t xml:space="preserve"> intra-frequency measurement and inter-frequency measurement, </w:t>
      </w:r>
      <w:r>
        <w:rPr>
          <w:rFonts w:hint="eastAsia" w:eastAsiaTheme="minorEastAsia"/>
          <w:lang w:val="en-US" w:eastAsia="zh-CN" w:bidi="ar"/>
        </w:rPr>
        <w:t>some companies proposed that the inter- frequency measurement shall also consider the SSB index. However, the inter-frequency measurement requirements are also reused the less than 5MHz in TN network:</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rPr>
                <w:lang w:val="en-US" w:eastAsia="ja-JP"/>
              </w:rPr>
            </w:pPr>
            <w:r>
              <w:rPr>
                <w:lang w:val="en-US" w:eastAsia="ja-JP"/>
              </w:rPr>
              <w:t>SSB index identification delay</w:t>
            </w:r>
          </w:p>
          <w:p>
            <w:pPr>
              <w:numPr>
                <w:ilvl w:val="0"/>
                <w:numId w:val="0"/>
              </w:numPr>
              <w:rPr>
                <w:lang w:val="en-US" w:eastAsia="ja-JP"/>
              </w:rPr>
            </w:pPr>
            <w:r>
              <w:rPr>
                <w:lang w:val="en-US" w:eastAsia="ja-JP"/>
              </w:rPr>
              <w:t>Unknown intra-frequency cell (Es/Iot≥-6 dB): [3+4] samples</w:t>
            </w:r>
          </w:p>
          <w:p>
            <w:pPr>
              <w:spacing w:before="120" w:beforeLines="50" w:after="120"/>
              <w:jc w:val="both"/>
              <w:rPr>
                <w:rFonts w:hint="eastAsia" w:eastAsiaTheme="minorEastAsia"/>
                <w:vertAlign w:val="baseline"/>
                <w:lang w:val="en-US" w:eastAsia="zh-CN" w:bidi="ar"/>
              </w:rPr>
            </w:pPr>
            <w:r>
              <w:rPr>
                <w:lang w:val="en-US" w:eastAsia="ja-JP"/>
              </w:rPr>
              <w:t>Unknown inter-frequency cell (Es/Iot≥-4 dB): [3+3] samples</w:t>
            </w:r>
          </w:p>
        </w:tc>
      </w:tr>
    </w:tbl>
    <w:p>
      <w:pPr>
        <w:spacing w:before="120" w:beforeLines="50" w:after="120"/>
        <w:jc w:val="both"/>
        <w:rPr>
          <w:rFonts w:hint="eastAsia" w:eastAsiaTheme="minorEastAsia"/>
          <w:lang w:val="en-US" w:eastAsia="zh-CN"/>
        </w:rPr>
      </w:pPr>
      <w:r>
        <w:rPr>
          <w:rFonts w:hint="eastAsia" w:eastAsiaTheme="minorEastAsia"/>
          <w:lang w:val="en-US" w:eastAsia="zh-CN" w:bidi="ar"/>
        </w:rPr>
        <w:t xml:space="preserve">The measurement samples are also extended by different </w:t>
      </w:r>
      <w:r>
        <w:rPr>
          <w:rFonts w:eastAsiaTheme="minorEastAsia"/>
          <w:lang w:val="en-US" w:eastAsia="zh-CN"/>
        </w:rPr>
        <w:t>Es/Iot conditions</w:t>
      </w:r>
      <w:r>
        <w:rPr>
          <w:rFonts w:hint="eastAsia" w:eastAsiaTheme="minorEastAsia"/>
          <w:lang w:val="en-US" w:eastAsia="zh-CN"/>
        </w:rPr>
        <w:t>. But the legacy test cases in TN can be seen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numPr>
                <w:ilvl w:val="0"/>
                <w:numId w:val="6"/>
              </w:numPr>
              <w:overflowPunct w:val="0"/>
              <w:autoSpaceDE w:val="0"/>
              <w:autoSpaceDN w:val="0"/>
              <w:adjustRightInd w:val="0"/>
              <w:spacing w:before="120" w:beforeLines="0" w:after="120" w:afterLines="0"/>
              <w:textAlignment w:val="baseline"/>
              <w:rPr>
                <w:rFonts w:eastAsia="宋体"/>
                <w:lang w:eastAsia="zh-CN"/>
              </w:rPr>
            </w:pPr>
            <w:r>
              <w:rPr>
                <w:rFonts w:eastAsia="宋体"/>
                <w:lang w:eastAsia="zh-CN"/>
              </w:rPr>
              <w:t>Intra-frequency L3 measurement with SSB index reading without DRX</w:t>
            </w:r>
          </w:p>
          <w:p>
            <w:pPr>
              <w:pStyle w:val="73"/>
              <w:numPr>
                <w:ilvl w:val="0"/>
                <w:numId w:val="6"/>
              </w:numPr>
              <w:overflowPunct w:val="0"/>
              <w:autoSpaceDE w:val="0"/>
              <w:autoSpaceDN w:val="0"/>
              <w:adjustRightInd w:val="0"/>
              <w:spacing w:before="120" w:beforeLines="0" w:after="120" w:afterLines="0"/>
              <w:textAlignment w:val="baseline"/>
              <w:rPr>
                <w:rFonts w:hint="default" w:eastAsiaTheme="minorEastAsia"/>
                <w:vertAlign w:val="baseline"/>
                <w:lang w:val="en-US" w:eastAsia="zh-CN"/>
              </w:rPr>
            </w:pPr>
            <w:r>
              <w:rPr>
                <w:rFonts w:eastAsia="宋体"/>
                <w:lang w:eastAsia="zh-CN"/>
              </w:rPr>
              <w:t>Inter-frequency L3 measurement without SSB index reading with DRX</w:t>
            </w:r>
          </w:p>
        </w:tc>
      </w:tr>
    </w:tbl>
    <w:p>
      <w:pPr>
        <w:spacing w:before="120" w:beforeLines="50" w:after="120"/>
        <w:jc w:val="both"/>
        <w:rPr>
          <w:rFonts w:hint="eastAsia" w:eastAsiaTheme="minorEastAsia"/>
          <w:lang w:val="en-US" w:eastAsia="zh-CN" w:bidi="ar"/>
        </w:rPr>
      </w:pPr>
      <w:r>
        <w:rPr>
          <w:rFonts w:hint="eastAsia" w:eastAsiaTheme="minorEastAsia"/>
          <w:lang w:val="en-US" w:eastAsia="zh-CN"/>
        </w:rPr>
        <w:t>By comparison, we think the motivation for inter-frequency L3 measurement with SSB index is not clear enough. From our side, we strongly suggest to follow the same manner as test configuration in TN.W</w:t>
      </w:r>
      <w:r>
        <w:rPr>
          <w:rFonts w:eastAsiaTheme="minorEastAsia"/>
          <w:lang w:val="en-US" w:eastAsia="zh-CN" w:bidi="ar"/>
        </w:rPr>
        <w:t>e propose the following:</w:t>
      </w:r>
    </w:p>
    <w:p>
      <w:pPr>
        <w:spacing w:before="120" w:beforeLines="50" w:after="120"/>
        <w:jc w:val="both"/>
        <w:rPr>
          <w:rFonts w:hint="eastAsia" w:eastAsiaTheme="minorEastAsia"/>
          <w:b/>
          <w:lang w:val="en-US" w:eastAsia="zh-CN" w:bidi="ar"/>
        </w:rPr>
      </w:pPr>
      <w:r>
        <w:rPr>
          <w:rFonts w:eastAsiaTheme="minorEastAsia"/>
          <w:b/>
          <w:lang w:val="en-US" w:eastAsia="zh-CN" w:bidi="ar"/>
        </w:rPr>
        <w:t>Proposal 7:</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73"/>
              <w:numPr>
                <w:ilvl w:val="255"/>
                <w:numId w:val="0"/>
              </w:numPr>
              <w:overflowPunct w:val="0"/>
              <w:autoSpaceDE w:val="0"/>
              <w:autoSpaceDN w:val="0"/>
              <w:adjustRightInd w:val="0"/>
              <w:spacing w:before="120" w:after="120"/>
              <w:jc w:val="both"/>
              <w:textAlignment w:val="baseline"/>
              <w:rPr>
                <w:rFonts w:eastAsia="宋体"/>
                <w:b/>
                <w:bCs/>
                <w:lang w:eastAsia="zh-CN"/>
              </w:rPr>
            </w:pPr>
            <w:r>
              <w:rPr>
                <w:rFonts w:eastAsia="宋体"/>
                <w:b/>
                <w:bCs/>
                <w:lang w:eastAsia="zh-CN"/>
              </w:rPr>
              <w:t>Intra-frequency L3 measurement with SSB index reading without DRX, no gap</w:t>
            </w:r>
          </w:p>
          <w:p>
            <w:pPr>
              <w:spacing w:before="120" w:beforeLines="50" w:after="120"/>
              <w:jc w:val="both"/>
              <w:rPr>
                <w:rFonts w:hint="eastAsia" w:eastAsiaTheme="minorEastAsia"/>
                <w:lang w:val="en-US" w:eastAsia="zh-CN" w:bidi="ar"/>
              </w:rPr>
            </w:pPr>
            <w:r>
              <w:rPr>
                <w:rFonts w:eastAsia="宋体"/>
                <w:b/>
                <w:bCs/>
                <w:lang w:eastAsia="zh-CN"/>
              </w:rPr>
              <w:t>Inter-frequency L3 measurement with</w:t>
            </w:r>
            <w:r>
              <w:rPr>
                <w:rFonts w:hint="eastAsia" w:eastAsia="宋体"/>
                <w:b/>
                <w:bCs/>
                <w:lang w:val="en-US" w:eastAsia="zh-CN"/>
              </w:rPr>
              <w:t>out</w:t>
            </w:r>
            <w:r>
              <w:rPr>
                <w:rFonts w:eastAsia="宋体"/>
                <w:b/>
                <w:bCs/>
                <w:lang w:eastAsia="zh-CN"/>
              </w:rPr>
              <w:t xml:space="preserve"> SSB index reading with DRX, with gap.</w:t>
            </w:r>
          </w:p>
        </w:tc>
      </w:tr>
    </w:tbl>
    <w:p>
      <w:pPr>
        <w:spacing w:before="120" w:beforeLines="50" w:after="120"/>
        <w:rPr>
          <w:lang w:val="en-US" w:eastAsia="zh-CN"/>
        </w:rPr>
      </w:pPr>
      <w:r>
        <w:rPr>
          <w:rFonts w:eastAsiaTheme="minorEastAsia"/>
          <w:lang w:val="en-US" w:eastAsia="zh-CN" w:bidi="ar"/>
        </w:rPr>
        <w:t>F</w:t>
      </w:r>
      <w:r>
        <w:rPr>
          <w:rFonts w:hint="eastAsia" w:eastAsiaTheme="minorEastAsia"/>
          <w:lang w:val="en-US" w:eastAsia="zh-CN" w:bidi="ar"/>
        </w:rPr>
        <w:t>o</w:t>
      </w:r>
      <w:r>
        <w:rPr>
          <w:rFonts w:eastAsiaTheme="minorEastAsia"/>
          <w:lang w:val="en-US" w:eastAsia="zh-CN" w:bidi="ar"/>
        </w:rPr>
        <w:t xml:space="preserve">r cell re-selection, </w:t>
      </w:r>
      <w:r>
        <w:rPr>
          <w:lang w:val="en-US" w:eastAsia="zh-CN"/>
        </w:rPr>
        <w:t>a</w:t>
      </w:r>
      <w:r>
        <w:rPr>
          <w:rFonts w:hint="eastAsia"/>
          <w:lang w:val="en-US" w:eastAsia="zh-CN"/>
        </w:rPr>
        <w:t>lthough there is no core part impact on cell re-selection requirements, regarding there is no exact Tsi-nr given in current spec, only the testing parameter will be given. Thus, we deem that the testing parameter shall be defined. In legacy TN less than 5M WI, the reason to define new test case for cell re-selection is that UE needs to read SIB/MIB from the target cell, which is same in HO. RAN4 did not define new core requirements because the exact delay for UE to read SIB/MIB is included in Tsi but the exact value is not specified. In the test, Tsi is defined as 1280ms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rPr>
                <w:lang w:val="en-US" w:eastAsia="zh-CN"/>
              </w:rPr>
            </w:pPr>
            <w:r>
              <w:rPr>
                <w:rFonts w:hint="eastAsia"/>
                <w:lang w:val="en-US" w:eastAsia="zh-CN"/>
              </w:rPr>
              <w:t>Legacy TN test requirements for Tsi:</w:t>
            </w:r>
          </w:p>
          <w:p>
            <w:pPr>
              <w:overflowPunct w:val="0"/>
              <w:autoSpaceDE w:val="0"/>
              <w:autoSpaceDN w:val="0"/>
              <w:adjustRightInd w:val="0"/>
              <w:rPr>
                <w:lang w:val="en-US" w:eastAsia="zh-CN" w:bidi="ar"/>
              </w:rPr>
            </w:pPr>
            <w:r>
              <w:rPr>
                <w:lang w:val="en-US" w:eastAsia="zh-CN" w:bidi="ar"/>
              </w:rPr>
              <w:t>T</w:t>
            </w:r>
            <w:r>
              <w:rPr>
                <w:vertAlign w:val="subscript"/>
                <w:lang w:val="en-US" w:eastAsia="zh-CN" w:bidi="ar"/>
              </w:rPr>
              <w:t>SI-NR</w:t>
            </w:r>
            <w:r>
              <w:rPr>
                <w:lang w:val="en-US" w:eastAsia="zh-CN" w:bidi="ar"/>
              </w:rPr>
              <w:tab/>
            </w:r>
            <w:r>
              <w:rPr>
                <w:lang w:val="en-US" w:eastAsia="zh-CN" w:bidi="ar"/>
              </w:rPr>
              <w:t xml:space="preserve">Maximum repetition period of relevant system info blocks that needs to be received by the UE to camp on a cell; </w:t>
            </w:r>
            <w:r>
              <w:rPr>
                <w:highlight w:val="yellow"/>
                <w:lang w:val="en-US" w:eastAsia="zh-CN" w:bidi="ar"/>
              </w:rPr>
              <w:t>1280 ms</w:t>
            </w:r>
            <w:r>
              <w:rPr>
                <w:lang w:val="en-US" w:eastAsia="zh-CN" w:bidi="ar"/>
              </w:rPr>
              <w:t xml:space="preserve"> is assumed in this test case.</w:t>
            </w:r>
          </w:p>
        </w:tc>
      </w:tr>
    </w:tbl>
    <w:p>
      <w:pPr>
        <w:spacing w:before="120" w:beforeLines="50" w:after="120"/>
        <w:rPr>
          <w:lang w:val="en-US" w:eastAsia="zh-CN"/>
        </w:rPr>
      </w:pPr>
      <w:r>
        <w:rPr>
          <w:rFonts w:hint="eastAsia"/>
          <w:lang w:val="en-US" w:eastAsia="zh-CN"/>
        </w:rPr>
        <w:t>Since the legacy delay as 1280ms is not enough to accommodate longer delay for SIB/MIB reading due to punctured PBCH, thus, the legacy test requirements on less than 5M TN can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rPr>
                <w:lang w:val="en-US" w:eastAsia="zh-CN" w:bidi="ar"/>
              </w:rPr>
            </w:pPr>
            <w:r>
              <w:rPr>
                <w:rFonts w:hint="eastAsia"/>
                <w:lang w:val="en-US" w:eastAsia="zh-CN" w:bidi="ar"/>
              </w:rPr>
              <w:t>Legacy TN with less than 5M for Tsi:</w:t>
            </w:r>
          </w:p>
          <w:p>
            <w:pPr>
              <w:overflowPunct w:val="0"/>
              <w:autoSpaceDE w:val="0"/>
              <w:autoSpaceDN w:val="0"/>
              <w:adjustRightInd w:val="0"/>
              <w:rPr>
                <w:lang w:val="en-US" w:eastAsia="zh-CN"/>
              </w:rPr>
            </w:pPr>
            <w:r>
              <w:rPr>
                <w:lang w:val="en-US" w:eastAsia="zh-CN" w:bidi="ar"/>
              </w:rPr>
              <w:t>T</w:t>
            </w:r>
            <w:r>
              <w:rPr>
                <w:vertAlign w:val="subscript"/>
                <w:lang w:val="en-US" w:eastAsia="zh-CN" w:bidi="ar"/>
              </w:rPr>
              <w:t>SI-NR</w:t>
            </w:r>
            <w:r>
              <w:rPr>
                <w:lang w:val="en-US" w:eastAsia="zh-CN" w:bidi="ar"/>
              </w:rPr>
              <w:tab/>
            </w:r>
            <w:r>
              <w:rPr>
                <w:lang w:val="en-US" w:eastAsia="zh-CN" w:bidi="ar"/>
              </w:rPr>
              <w:t xml:space="preserve">Maximum repetition period of relevant system info blocks that needs to be received by the UE to camp on a cell; </w:t>
            </w:r>
            <w:r>
              <w:rPr>
                <w:highlight w:val="yellow"/>
                <w:lang w:val="en-US" w:eastAsia="zh-CN" w:bidi="ar"/>
              </w:rPr>
              <w:t>1320 ms</w:t>
            </w:r>
            <w:r>
              <w:rPr>
                <w:lang w:val="en-US" w:eastAsia="zh-CN" w:bidi="ar"/>
              </w:rPr>
              <w:t xml:space="preserve"> is assumed in this test case.</w:t>
            </w:r>
          </w:p>
        </w:tc>
      </w:tr>
    </w:tbl>
    <w:p>
      <w:pPr>
        <w:spacing w:before="120" w:beforeLines="50" w:after="120"/>
        <w:rPr>
          <w:lang w:val="en-US" w:eastAsia="zh-CN"/>
        </w:rPr>
      </w:pPr>
      <w:r>
        <w:rPr>
          <w:rFonts w:hint="eastAsia"/>
          <w:lang w:val="en-US" w:eastAsia="zh-CN"/>
        </w:rPr>
        <w:t>We observe that the exact value in test requirements for legacy NTN on Tsi is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overflowPunct w:val="0"/>
              <w:autoSpaceDE w:val="0"/>
              <w:autoSpaceDN w:val="0"/>
              <w:adjustRightInd w:val="0"/>
              <w:rPr>
                <w:lang w:val="en-US" w:eastAsia="zh-CN"/>
              </w:rPr>
            </w:pPr>
            <w:r>
              <w:rPr>
                <w:rFonts w:hint="eastAsia"/>
                <w:lang w:val="en-US" w:eastAsia="zh-CN"/>
              </w:rPr>
              <w:t>Legacy TN test requirements for Tsi:</w:t>
            </w:r>
          </w:p>
          <w:p>
            <w:pPr>
              <w:spacing w:before="120" w:beforeLines="50" w:after="120"/>
              <w:rPr>
                <w:lang w:val="en-US" w:eastAsia="zh-CN"/>
              </w:rPr>
            </w:pPr>
            <w:r>
              <w:rPr>
                <w:lang w:val="en-US" w:eastAsia="zh-CN" w:bidi="ar"/>
              </w:rPr>
              <w:t>T</w:t>
            </w:r>
            <w:r>
              <w:rPr>
                <w:vertAlign w:val="subscript"/>
                <w:lang w:val="en-US" w:eastAsia="zh-CN" w:bidi="ar"/>
              </w:rPr>
              <w:t>SI-NR</w:t>
            </w:r>
            <w:r>
              <w:rPr>
                <w:lang w:val="en-US" w:eastAsia="zh-CN" w:bidi="ar"/>
              </w:rPr>
              <w:tab/>
            </w:r>
            <w:r>
              <w:rPr>
                <w:lang w:val="en-US" w:eastAsia="zh-CN" w:bidi="ar"/>
              </w:rPr>
              <w:t xml:space="preserve">Maximum repetition period of relevant system info blocks that needs to be received by the UE to camp on a cell; </w:t>
            </w:r>
            <w:r>
              <w:rPr>
                <w:highlight w:val="yellow"/>
                <w:lang w:val="en-US" w:eastAsia="zh-CN" w:bidi="ar"/>
              </w:rPr>
              <w:t>1280 ms</w:t>
            </w:r>
            <w:r>
              <w:rPr>
                <w:lang w:val="en-US" w:eastAsia="zh-CN" w:bidi="ar"/>
              </w:rPr>
              <w:t xml:space="preserve"> is assumed in this test case provided that SIB1 and SIB19 are scheduled with 20 ms period and 80 ms period, respectively.</w:t>
            </w:r>
          </w:p>
        </w:tc>
      </w:tr>
    </w:tbl>
    <w:p>
      <w:pPr>
        <w:spacing w:before="120" w:beforeLines="50" w:after="120"/>
        <w:rPr>
          <w:lang w:val="en-US" w:eastAsia="zh-CN"/>
        </w:rPr>
      </w:pPr>
      <w:r>
        <w:rPr>
          <w:rFonts w:hint="eastAsia"/>
          <w:lang w:val="en-US" w:eastAsia="zh-CN"/>
        </w:rPr>
        <w:t>The same logic shall be considered when defining cell re-selection test requirements with less than 5M in NTN scenario.</w:t>
      </w:r>
    </w:p>
    <w:p>
      <w:pPr>
        <w:spacing w:before="120" w:beforeLines="50" w:after="120"/>
        <w:rPr>
          <w:b/>
          <w:bCs/>
          <w:lang w:val="en-US" w:eastAsia="zh-CN"/>
        </w:rPr>
      </w:pPr>
      <w:r>
        <w:rPr>
          <w:rFonts w:hint="eastAsia"/>
          <w:b/>
          <w:bCs/>
          <w:lang w:val="en-US" w:eastAsia="zh-CN"/>
        </w:rPr>
        <w:t xml:space="preserve">Observation </w:t>
      </w:r>
      <w:r>
        <w:rPr>
          <w:b/>
          <w:bCs/>
          <w:lang w:val="en-US" w:eastAsia="zh-CN"/>
        </w:rPr>
        <w:t>10</w:t>
      </w:r>
      <w:r>
        <w:rPr>
          <w:rFonts w:hint="eastAsia"/>
          <w:b/>
          <w:bCs/>
          <w:lang w:val="en-US" w:eastAsia="zh-CN"/>
        </w:rPr>
        <w:t>: The legacy test requirements without less than 5MHz in TN scenario, the legacy delay as 1280ms is not enough to accommodate longer delay for SIB/MIB reading due to punctured PBCH.</w:t>
      </w:r>
    </w:p>
    <w:p>
      <w:pPr>
        <w:spacing w:before="120" w:beforeLines="50" w:after="120"/>
        <w:rPr>
          <w:b/>
          <w:bCs/>
          <w:lang w:val="en-US" w:eastAsia="zh-CN" w:bidi="ar"/>
        </w:rPr>
      </w:pPr>
      <w:r>
        <w:rPr>
          <w:rFonts w:hint="eastAsia"/>
          <w:b/>
          <w:bCs/>
          <w:lang w:val="en-US" w:eastAsia="zh-CN"/>
        </w:rPr>
        <w:t xml:space="preserve">Observation </w:t>
      </w:r>
      <w:r>
        <w:rPr>
          <w:b/>
          <w:bCs/>
          <w:lang w:val="en-US" w:eastAsia="zh-CN"/>
        </w:rPr>
        <w:t>11</w:t>
      </w:r>
      <w:r>
        <w:rPr>
          <w:rFonts w:hint="eastAsia"/>
          <w:b/>
          <w:bCs/>
          <w:lang w:val="en-US" w:eastAsia="zh-CN"/>
        </w:rPr>
        <w:t xml:space="preserve">: The legacy test requirements with less than 5MHz in TN scenario, </w:t>
      </w:r>
      <w:r>
        <w:rPr>
          <w:b/>
          <w:bCs/>
          <w:lang w:val="en-US" w:eastAsia="zh-CN" w:bidi="ar"/>
        </w:rPr>
        <w:t>T</w:t>
      </w:r>
      <w:r>
        <w:rPr>
          <w:b/>
          <w:bCs/>
          <w:vertAlign w:val="subscript"/>
          <w:lang w:val="en-US" w:eastAsia="zh-CN" w:bidi="ar"/>
        </w:rPr>
        <w:t>SI-NR</w:t>
      </w:r>
      <w:r>
        <w:rPr>
          <w:b/>
          <w:bCs/>
          <w:lang w:val="en-US" w:eastAsia="zh-CN" w:bidi="ar"/>
        </w:rPr>
        <w:tab/>
      </w:r>
      <w:r>
        <w:rPr>
          <w:b/>
          <w:bCs/>
          <w:lang w:val="en-US" w:eastAsia="zh-CN" w:bidi="ar"/>
        </w:rPr>
        <w:t xml:space="preserve">Maximum repetition period of relevant system info blocks that needs to be received by the UE to camp on a cell; </w:t>
      </w:r>
      <w:r>
        <w:rPr>
          <w:b/>
          <w:bCs/>
          <w:highlight w:val="yellow"/>
          <w:lang w:val="en-US" w:eastAsia="zh-CN" w:bidi="ar"/>
        </w:rPr>
        <w:t>1320 ms</w:t>
      </w:r>
      <w:r>
        <w:rPr>
          <w:b/>
          <w:bCs/>
          <w:lang w:val="en-US" w:eastAsia="zh-CN" w:bidi="ar"/>
        </w:rPr>
        <w:t xml:space="preserve"> is assumed in this test case.</w:t>
      </w:r>
    </w:p>
    <w:p>
      <w:pPr>
        <w:spacing w:before="120" w:beforeLines="50" w:after="120"/>
        <w:rPr>
          <w:b/>
          <w:bCs/>
          <w:lang w:val="en-US" w:eastAsia="zh-CN" w:bidi="ar"/>
        </w:rPr>
      </w:pPr>
      <w:r>
        <w:rPr>
          <w:rFonts w:hint="eastAsia"/>
          <w:b/>
          <w:bCs/>
          <w:lang w:val="en-US" w:eastAsia="zh-CN" w:bidi="ar"/>
        </w:rPr>
        <w:t xml:space="preserve">Proposal </w:t>
      </w:r>
      <w:r>
        <w:rPr>
          <w:b/>
          <w:bCs/>
          <w:lang w:val="en-US" w:eastAsia="zh-CN" w:bidi="ar"/>
        </w:rPr>
        <w:t>8</w:t>
      </w:r>
      <w:r>
        <w:rPr>
          <w:rFonts w:hint="eastAsia"/>
          <w:b/>
          <w:bCs/>
          <w:lang w:val="en-US" w:eastAsia="zh-CN" w:bidi="ar"/>
        </w:rPr>
        <w:t>: The concrete test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rPr>
                <w:b/>
                <w:bCs/>
                <w:lang w:val="en-US" w:eastAsia="zh-CN" w:bidi="ar"/>
              </w:rPr>
            </w:pPr>
            <w:r>
              <w:rPr>
                <w:b/>
                <w:bCs/>
                <w:lang w:val="en-US" w:eastAsia="zh-CN" w:bidi="ar"/>
              </w:rPr>
              <w:t>T</w:t>
            </w:r>
            <w:r>
              <w:rPr>
                <w:b/>
                <w:bCs/>
                <w:vertAlign w:val="subscript"/>
                <w:lang w:val="en-US" w:eastAsia="zh-CN" w:bidi="ar"/>
              </w:rPr>
              <w:t>SI-NR</w:t>
            </w:r>
            <w:r>
              <w:rPr>
                <w:b/>
                <w:bCs/>
                <w:lang w:val="en-US" w:eastAsia="zh-CN" w:bidi="ar"/>
              </w:rPr>
              <w:tab/>
            </w:r>
            <w:r>
              <w:rPr>
                <w:b/>
                <w:bCs/>
                <w:lang w:val="en-US" w:eastAsia="zh-CN" w:bidi="ar"/>
              </w:rPr>
              <w:t xml:space="preserve">Maximum repetition period of relevant system info blocks that needs to be received by the UE to camp on a cell; </w:t>
            </w:r>
            <w:r>
              <w:rPr>
                <w:b/>
                <w:bCs/>
                <w:highlight w:val="yellow"/>
                <w:lang w:val="en-US" w:eastAsia="zh-CN" w:bidi="ar"/>
              </w:rPr>
              <w:t>1</w:t>
            </w:r>
            <w:r>
              <w:rPr>
                <w:rFonts w:hint="eastAsia"/>
                <w:b/>
                <w:bCs/>
                <w:highlight w:val="yellow"/>
                <w:lang w:val="en-US" w:eastAsia="zh-CN" w:bidi="ar"/>
              </w:rPr>
              <w:t>320</w:t>
            </w:r>
            <w:r>
              <w:rPr>
                <w:b/>
                <w:bCs/>
                <w:highlight w:val="yellow"/>
                <w:lang w:val="en-US" w:eastAsia="zh-CN" w:bidi="ar"/>
              </w:rPr>
              <w:t xml:space="preserve"> ms</w:t>
            </w:r>
            <w:r>
              <w:rPr>
                <w:b/>
                <w:bCs/>
                <w:lang w:val="en-US" w:eastAsia="zh-CN" w:bidi="ar"/>
              </w:rPr>
              <w:t xml:space="preserve"> is assumed in this test case provided that SIB1 and SIB19 are scheduled with 20 ms period and 80 ms period, respectively.</w:t>
            </w:r>
          </w:p>
        </w:tc>
      </w:tr>
    </w:tbl>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performance requirements on R19 NR less than 5M NTN enhancement</w:t>
      </w:r>
      <w:r>
        <w:rPr>
          <w:rFonts w:eastAsia="宋体"/>
          <w:lang w:eastAsia="zh-CN"/>
        </w:rPr>
        <w:t>.</w:t>
      </w:r>
    </w:p>
    <w:p>
      <w:pPr>
        <w:spacing w:before="120" w:beforeLines="50" w:after="120" w:afterLines="50"/>
        <w:jc w:val="both"/>
        <w:rPr>
          <w:b/>
          <w:lang w:val="en-US" w:eastAsia="zh-CN"/>
        </w:rPr>
      </w:pPr>
      <w:r>
        <w:rPr>
          <w:b/>
          <w:lang w:val="en-US" w:eastAsia="zh-CN"/>
        </w:rPr>
        <w:t>Observation 1: The existing test cases on “Cell re-selection tp FR1 intra-frequency NR case” and “Cell re-selection to FR1 intra-frequency NR cell for UE configured with the feature for enhanced requirements” have different sub clauses in NTN clause.</w:t>
      </w:r>
    </w:p>
    <w:p>
      <w:pPr>
        <w:spacing w:before="120" w:beforeLines="50" w:after="120" w:afterLines="50"/>
        <w:jc w:val="both"/>
        <w:rPr>
          <w:b/>
          <w:lang w:val="en-US" w:eastAsia="zh-CN"/>
        </w:rPr>
      </w:pPr>
      <w:r>
        <w:rPr>
          <w:b/>
          <w:lang w:val="en-US" w:eastAsia="zh-CN"/>
        </w:rPr>
        <w:t>Observation 2: If option 1 applies, the different feature has clear clarification on test cases. The same method as RedCap NTN in WI [NTN Phase 3], which has also introduced a new clause.</w:t>
      </w:r>
    </w:p>
    <w:p>
      <w:pPr>
        <w:spacing w:before="120" w:beforeLines="50" w:after="120" w:afterLines="50"/>
        <w:jc w:val="both"/>
        <w:rPr>
          <w:b/>
          <w:lang w:val="en-US" w:eastAsia="zh-CN"/>
        </w:rPr>
      </w:pPr>
      <w:r>
        <w:rPr>
          <w:b/>
          <w:lang w:val="en-US" w:eastAsia="zh-CN"/>
        </w:rPr>
        <w:t>Proposal 1: The detailed testing configuration and requirements of cell re-selection shall be captured in the new sub clause in NTN clause.</w:t>
      </w:r>
    </w:p>
    <w:p>
      <w:pPr>
        <w:spacing w:before="120" w:beforeLines="50" w:after="120" w:afterLines="50"/>
        <w:jc w:val="both"/>
        <w:rPr>
          <w:b/>
          <w:lang w:val="en-US" w:eastAsia="zh-CN" w:bidi="ar"/>
        </w:rPr>
      </w:pPr>
      <w:r>
        <w:rPr>
          <w:b/>
          <w:lang w:val="en-US" w:eastAsia="zh-CN" w:bidi="ar"/>
        </w:rPr>
        <w:t xml:space="preserve">Observation 3: </w:t>
      </w:r>
      <w:r>
        <w:rPr>
          <w:rFonts w:hint="eastAsia"/>
          <w:b/>
          <w:lang w:val="en-US" w:eastAsia="zh-CN" w:bidi="ar"/>
        </w:rPr>
        <w:t>Tsearch and Tdelta a</w:t>
      </w:r>
      <w:r>
        <w:rPr>
          <w:b/>
          <w:lang w:val="en-US" w:eastAsia="zh-CN" w:bidi="ar"/>
        </w:rPr>
        <w:t>re</w:t>
      </w:r>
      <w:r>
        <w:rPr>
          <w:rFonts w:hint="eastAsia"/>
          <w:b/>
          <w:lang w:val="en-US" w:eastAsia="zh-CN" w:bidi="ar"/>
        </w:rPr>
        <w:t xml:space="preserve"> the same </w:t>
      </w:r>
      <w:r>
        <w:rPr>
          <w:b/>
          <w:lang w:val="en-US" w:eastAsia="zh-CN" w:bidi="ar"/>
        </w:rPr>
        <w:t xml:space="preserve">between RACH-based and RACH-less andover </w:t>
      </w:r>
      <w:r>
        <w:rPr>
          <w:rFonts w:hint="eastAsia"/>
          <w:b/>
          <w:lang w:val="en-US" w:eastAsia="zh-CN" w:bidi="ar"/>
        </w:rPr>
        <w:t>defined in core requirements</w:t>
      </w:r>
      <w:r>
        <w:rPr>
          <w:b/>
          <w:lang w:val="en-US" w:eastAsia="zh-CN" w:bidi="ar"/>
        </w:rPr>
        <w:t>.</w:t>
      </w:r>
    </w:p>
    <w:p>
      <w:pPr>
        <w:spacing w:before="120" w:beforeLines="50" w:after="120" w:afterLines="50"/>
        <w:jc w:val="both"/>
        <w:rPr>
          <w:b/>
          <w:lang w:val="en-US" w:eastAsia="zh-CN" w:bidi="ar"/>
        </w:rPr>
      </w:pPr>
      <w:r>
        <w:rPr>
          <w:b/>
          <w:lang w:val="en-US" w:eastAsia="zh-CN" w:bidi="ar"/>
        </w:rPr>
        <w:t>Proposal 2: Only RACH-based handover test configuration shall be defined.</w:t>
      </w:r>
    </w:p>
    <w:p>
      <w:pPr>
        <w:spacing w:before="120" w:beforeLines="50" w:after="120" w:afterLines="50"/>
        <w:jc w:val="both"/>
        <w:rPr>
          <w:b/>
          <w:lang w:val="en-US" w:eastAsia="zh-CN" w:bidi="ar"/>
        </w:rPr>
      </w:pPr>
      <w:r>
        <w:rPr>
          <w:b/>
          <w:lang w:val="en-US" w:eastAsia="zh-CN" w:bidi="ar"/>
        </w:rPr>
        <w:t>Observation 4:  The core requirements are totally different between CHO with L3 measurement and CHO without L3 measurement.</w:t>
      </w:r>
    </w:p>
    <w:p>
      <w:pPr>
        <w:spacing w:before="120" w:beforeLines="50" w:after="120" w:afterLines="50"/>
        <w:jc w:val="both"/>
        <w:rPr>
          <w:b/>
          <w:lang w:val="en-US" w:eastAsia="zh-CN" w:bidi="ar"/>
        </w:rPr>
      </w:pPr>
      <w:r>
        <w:rPr>
          <w:b/>
          <w:lang w:val="en-US" w:eastAsia="zh-CN" w:bidi="ar"/>
        </w:rPr>
        <w:t>Proposal 3: The test configuration for CHO with L3 measurement and CHO without L3 measurement shall be both studied.</w:t>
      </w:r>
    </w:p>
    <w:p>
      <w:pPr>
        <w:spacing w:before="120" w:beforeLines="50" w:after="120"/>
        <w:jc w:val="both"/>
        <w:rPr>
          <w:b/>
          <w:lang w:val="en-US" w:eastAsia="zh-CN" w:bidi="ar"/>
        </w:rPr>
      </w:pPr>
      <w:r>
        <w:rPr>
          <w:b/>
        </w:rPr>
        <w:t xml:space="preserve">Observation 5: </w:t>
      </w:r>
      <w:r>
        <w:rPr>
          <w:b/>
          <w:lang w:val="en-US" w:eastAsia="zh-CN" w:bidi="ar"/>
        </w:rPr>
        <w:t xml:space="preserve"> </w:t>
      </w:r>
      <w:r>
        <w:rPr>
          <w:rFonts w:hint="eastAsia"/>
          <w:b/>
          <w:lang w:val="en-US" w:eastAsia="zh-CN" w:bidi="ar"/>
        </w:rPr>
        <w:t>UE supporting soft switch will also support hard satellite switch.</w:t>
      </w:r>
    </w:p>
    <w:p>
      <w:pPr>
        <w:spacing w:before="120" w:beforeLines="50" w:after="120"/>
        <w:jc w:val="both"/>
        <w:rPr>
          <w:b/>
          <w:lang w:val="en-US" w:eastAsia="zh-CN" w:bidi="ar"/>
        </w:rPr>
      </w:pPr>
      <w:r>
        <w:rPr>
          <w:b/>
          <w:lang w:val="en-US" w:eastAsia="zh-CN" w:bidi="ar"/>
        </w:rPr>
        <w:t>Proposal 4: For satellite switch in NTN, soft satellite switch shall be tested.</w:t>
      </w:r>
    </w:p>
    <w:p>
      <w:pPr>
        <w:spacing w:before="120" w:beforeLines="50" w:after="120"/>
        <w:jc w:val="both"/>
        <w:rPr>
          <w:rFonts w:eastAsiaTheme="minorEastAsia"/>
          <w:b/>
          <w:lang w:val="en-US" w:eastAsia="zh-CN" w:bidi="ar"/>
        </w:rPr>
      </w:pPr>
      <w:r>
        <w:rPr>
          <w:rFonts w:eastAsiaTheme="minorEastAsia"/>
          <w:b/>
          <w:lang w:val="en-US" w:eastAsia="zh-CN" w:bidi="ar"/>
        </w:rPr>
        <w:t>Observation 6: RAN4 has already agreed that the PDCCH transmission bandwidth is 15PRBs and 12PRBs for SSB/PBCH assumption.</w:t>
      </w:r>
    </w:p>
    <w:p>
      <w:pPr>
        <w:spacing w:before="120" w:beforeLines="50" w:after="120"/>
        <w:jc w:val="both"/>
        <w:rPr>
          <w:rFonts w:eastAsiaTheme="minorEastAsia"/>
          <w:b/>
          <w:lang w:val="en-US" w:eastAsia="zh-CN" w:bidi="ar"/>
        </w:rPr>
      </w:pPr>
      <w:r>
        <w:rPr>
          <w:rFonts w:eastAsiaTheme="minorEastAsia"/>
          <w:b/>
          <w:lang w:val="en-US" w:eastAsia="zh-CN" w:bidi="ar"/>
        </w:rPr>
        <w:t xml:space="preserve">Observation 7: In current spec, it says “the requirements in clause 8.1C apply for radio link monitoring on PCell </w:t>
      </w:r>
      <w:r>
        <w:rPr>
          <w:rFonts w:hint="eastAsia" w:eastAsiaTheme="minorEastAsia"/>
          <w:b/>
          <w:lang w:val="en-US" w:eastAsia="zh-CN" w:bidi="ar"/>
        </w:rPr>
        <w:t>and</w:t>
      </w:r>
      <w:r>
        <w:rPr>
          <w:rFonts w:eastAsiaTheme="minorEastAsia"/>
          <w:b/>
          <w:lang w:val="en-US" w:eastAsia="zh-CN" w:bidi="ar"/>
        </w:rPr>
        <w:t xml:space="preserve"> the UE is configured with only PCell”.</w:t>
      </w:r>
    </w:p>
    <w:p>
      <w:pPr>
        <w:spacing w:before="120" w:beforeLines="50" w:after="120"/>
        <w:jc w:val="both"/>
        <w:rPr>
          <w:rFonts w:eastAsiaTheme="minorEastAsia"/>
          <w:b/>
          <w:lang w:val="en-US" w:eastAsia="zh-CN" w:bidi="ar"/>
        </w:rPr>
      </w:pPr>
      <w:r>
        <w:rPr>
          <w:rFonts w:eastAsiaTheme="minorEastAsia"/>
          <w:b/>
          <w:lang w:val="en-US" w:eastAsia="zh-CN" w:bidi="ar"/>
        </w:rPr>
        <w:t>Observation 8: For less than 5MHz in TN, RLM OOS used the DRX mode and IS used the non-DRX mode.</w:t>
      </w:r>
    </w:p>
    <w:p>
      <w:pPr>
        <w:spacing w:before="120" w:beforeLines="50" w:after="120"/>
        <w:jc w:val="both"/>
        <w:rPr>
          <w:rFonts w:eastAsiaTheme="minorEastAsia"/>
          <w:b/>
          <w:lang w:val="en-US" w:eastAsia="zh-CN" w:bidi="ar"/>
        </w:rPr>
      </w:pPr>
      <w:r>
        <w:rPr>
          <w:rFonts w:eastAsiaTheme="minorEastAsia"/>
          <w:b/>
          <w:lang w:val="en-US" w:eastAsia="zh-CN" w:bidi="ar"/>
        </w:rPr>
        <w:t>Proposal 5: For RLM, we raise the following test configurations: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before="120" w:beforeLines="50" w:after="120"/>
              <w:jc w:val="both"/>
              <w:rPr>
                <w:rFonts w:eastAsiaTheme="minorEastAsia"/>
                <w:b/>
                <w:lang w:val="en-US" w:eastAsia="zh-CN" w:bidi="ar"/>
              </w:rPr>
            </w:pPr>
            <w:r>
              <w:rPr>
                <w:rFonts w:hint="eastAsia" w:eastAsiaTheme="minorEastAsia"/>
                <w:b/>
                <w:lang w:val="en-US" w:eastAsia="zh-CN" w:bidi="ar"/>
              </w:rPr>
              <w:t>R</w:t>
            </w:r>
            <w:r>
              <w:rPr>
                <w:rFonts w:eastAsiaTheme="minorEastAsia"/>
                <w:b/>
                <w:lang w:val="en-US" w:eastAsia="zh-CN" w:bidi="ar"/>
              </w:rPr>
              <w:t>LM-1: FR1 PCell only, in DRX mode, 15PRB PDCCH and 12 PRB SSB</w:t>
            </w:r>
          </w:p>
          <w:p>
            <w:pPr>
              <w:spacing w:before="120" w:beforeLines="50" w:after="120"/>
              <w:jc w:val="both"/>
              <w:rPr>
                <w:rFonts w:eastAsiaTheme="minorEastAsia"/>
                <w:b/>
                <w:lang w:val="en-US" w:eastAsia="zh-CN" w:bidi="ar"/>
              </w:rPr>
            </w:pPr>
            <w:r>
              <w:rPr>
                <w:rFonts w:eastAsiaTheme="minorEastAsia"/>
                <w:b/>
                <w:lang w:val="en-US" w:eastAsia="zh-CN" w:bidi="ar"/>
              </w:rPr>
              <w:t>RLM-2: FR1 PCell only, in non-DRX mode, 15PRB PDCCH and 12 PRB SSB</w:t>
            </w:r>
          </w:p>
        </w:tc>
      </w:tr>
    </w:tbl>
    <w:p>
      <w:pPr>
        <w:spacing w:before="120" w:beforeLines="50" w:after="120"/>
        <w:jc w:val="both"/>
        <w:rPr>
          <w:rFonts w:eastAsiaTheme="minorEastAsia"/>
          <w:b/>
          <w:lang w:val="en-US" w:eastAsia="zh-CN" w:bidi="ar"/>
        </w:rPr>
      </w:pPr>
      <w:r>
        <w:rPr>
          <w:rFonts w:eastAsiaTheme="minorEastAsia"/>
          <w:b/>
          <w:lang w:val="en-US" w:eastAsia="zh-CN" w:bidi="ar"/>
        </w:rPr>
        <w:t>Proposal 6: For BFR-1,the test configuration shall include FR1 PCell only, 15PRB PDCCH and 12PRB SSB in non-DRX mode.</w:t>
      </w:r>
    </w:p>
    <w:p>
      <w:pPr>
        <w:spacing w:before="120" w:beforeLines="50" w:after="120"/>
        <w:jc w:val="both"/>
        <w:rPr>
          <w:rFonts w:hint="eastAsia" w:eastAsiaTheme="minorEastAsia"/>
          <w:b/>
          <w:lang w:val="en-US" w:eastAsia="zh-CN" w:bidi="ar"/>
        </w:rPr>
      </w:pPr>
      <w:r>
        <w:rPr>
          <w:rFonts w:eastAsiaTheme="minorEastAsia"/>
          <w:b/>
          <w:lang w:val="en-US" w:eastAsia="zh-CN" w:bidi="ar"/>
        </w:rPr>
        <w:t>Proposal 7:</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73"/>
              <w:numPr>
                <w:ilvl w:val="255"/>
                <w:numId w:val="0"/>
              </w:numPr>
              <w:overflowPunct w:val="0"/>
              <w:autoSpaceDE w:val="0"/>
              <w:autoSpaceDN w:val="0"/>
              <w:adjustRightInd w:val="0"/>
              <w:spacing w:before="120" w:after="120"/>
              <w:jc w:val="both"/>
              <w:textAlignment w:val="baseline"/>
              <w:rPr>
                <w:rFonts w:eastAsia="宋体"/>
                <w:b/>
                <w:bCs/>
                <w:lang w:eastAsia="zh-CN"/>
              </w:rPr>
            </w:pPr>
            <w:r>
              <w:rPr>
                <w:rFonts w:eastAsia="宋体"/>
                <w:b/>
                <w:bCs/>
                <w:lang w:eastAsia="zh-CN"/>
              </w:rPr>
              <w:t>Intra-frequency L3 measurement with SSB index reading without DRX, no gap</w:t>
            </w:r>
          </w:p>
          <w:p>
            <w:pPr>
              <w:spacing w:before="120" w:beforeLines="50" w:after="120"/>
              <w:jc w:val="both"/>
              <w:rPr>
                <w:rFonts w:hint="eastAsia" w:eastAsiaTheme="minorEastAsia"/>
                <w:lang w:val="en-US" w:eastAsia="zh-CN" w:bidi="ar"/>
              </w:rPr>
            </w:pPr>
            <w:r>
              <w:rPr>
                <w:rFonts w:eastAsia="宋体"/>
                <w:b/>
                <w:bCs/>
                <w:lang w:eastAsia="zh-CN"/>
              </w:rPr>
              <w:t>Inter-frequency L3 measurement with</w:t>
            </w:r>
            <w:r>
              <w:rPr>
                <w:rFonts w:hint="eastAsia" w:eastAsia="宋体"/>
                <w:b/>
                <w:bCs/>
                <w:lang w:val="en-US" w:eastAsia="zh-CN"/>
              </w:rPr>
              <w:t>out</w:t>
            </w:r>
            <w:r>
              <w:rPr>
                <w:rFonts w:eastAsia="宋体"/>
                <w:b/>
                <w:bCs/>
                <w:lang w:eastAsia="zh-CN"/>
              </w:rPr>
              <w:t xml:space="preserve"> SSB index reading with DRX, with gap.</w:t>
            </w:r>
          </w:p>
        </w:tc>
      </w:tr>
    </w:tbl>
    <w:p>
      <w:pPr>
        <w:spacing w:before="120" w:beforeLines="50" w:after="120"/>
        <w:rPr>
          <w:b/>
          <w:bCs/>
          <w:lang w:val="en-US" w:eastAsia="zh-CN"/>
        </w:rPr>
      </w:pPr>
      <w:r>
        <w:rPr>
          <w:rFonts w:hint="eastAsia"/>
          <w:b/>
          <w:bCs/>
          <w:lang w:val="en-US" w:eastAsia="zh-CN"/>
        </w:rPr>
        <w:t xml:space="preserve">Observation </w:t>
      </w:r>
      <w:r>
        <w:rPr>
          <w:b/>
          <w:bCs/>
          <w:lang w:val="en-US" w:eastAsia="zh-CN"/>
        </w:rPr>
        <w:t>10</w:t>
      </w:r>
      <w:r>
        <w:rPr>
          <w:rFonts w:hint="eastAsia"/>
          <w:b/>
          <w:bCs/>
          <w:lang w:val="en-US" w:eastAsia="zh-CN"/>
        </w:rPr>
        <w:t>: The legacy test requirements without less than 5MHz in TN scenario, the legacy delay as 1280ms is not enough to accommodate longer delay for SIB/MIB reading due to punctured PBCH.</w:t>
      </w:r>
    </w:p>
    <w:p>
      <w:pPr>
        <w:spacing w:before="120" w:beforeLines="50" w:after="120"/>
        <w:rPr>
          <w:b/>
          <w:bCs/>
          <w:lang w:val="en-US" w:eastAsia="zh-CN" w:bidi="ar"/>
        </w:rPr>
      </w:pPr>
      <w:r>
        <w:rPr>
          <w:rFonts w:hint="eastAsia"/>
          <w:b/>
          <w:bCs/>
          <w:lang w:val="en-US" w:eastAsia="zh-CN"/>
        </w:rPr>
        <w:t xml:space="preserve">Observation </w:t>
      </w:r>
      <w:r>
        <w:rPr>
          <w:b/>
          <w:bCs/>
          <w:lang w:val="en-US" w:eastAsia="zh-CN"/>
        </w:rPr>
        <w:t>11</w:t>
      </w:r>
      <w:r>
        <w:rPr>
          <w:rFonts w:hint="eastAsia"/>
          <w:b/>
          <w:bCs/>
          <w:lang w:val="en-US" w:eastAsia="zh-CN"/>
        </w:rPr>
        <w:t xml:space="preserve">: The legacy test requirements with less than 5MHz in TN scenario, </w:t>
      </w:r>
      <w:r>
        <w:rPr>
          <w:b/>
          <w:bCs/>
          <w:lang w:val="en-US" w:eastAsia="zh-CN" w:bidi="ar"/>
        </w:rPr>
        <w:t>T</w:t>
      </w:r>
      <w:r>
        <w:rPr>
          <w:b/>
          <w:bCs/>
          <w:vertAlign w:val="subscript"/>
          <w:lang w:val="en-US" w:eastAsia="zh-CN" w:bidi="ar"/>
        </w:rPr>
        <w:t>SI-NR</w:t>
      </w:r>
      <w:r>
        <w:rPr>
          <w:b/>
          <w:bCs/>
          <w:lang w:val="en-US" w:eastAsia="zh-CN" w:bidi="ar"/>
        </w:rPr>
        <w:tab/>
      </w:r>
      <w:r>
        <w:rPr>
          <w:b/>
          <w:bCs/>
          <w:lang w:val="en-US" w:eastAsia="zh-CN" w:bidi="ar"/>
        </w:rPr>
        <w:t xml:space="preserve">Maximum repetition period of relevant system info blocks that needs to be received by the UE to camp on a cell; </w:t>
      </w:r>
      <w:r>
        <w:rPr>
          <w:b/>
          <w:bCs/>
          <w:highlight w:val="yellow"/>
          <w:lang w:val="en-US" w:eastAsia="zh-CN" w:bidi="ar"/>
        </w:rPr>
        <w:t>1320 ms</w:t>
      </w:r>
      <w:r>
        <w:rPr>
          <w:b/>
          <w:bCs/>
          <w:lang w:val="en-US" w:eastAsia="zh-CN" w:bidi="ar"/>
        </w:rPr>
        <w:t xml:space="preserve"> is assumed in this test case.</w:t>
      </w:r>
    </w:p>
    <w:p>
      <w:pPr>
        <w:spacing w:before="120" w:beforeLines="50" w:after="120"/>
        <w:rPr>
          <w:b/>
          <w:bCs/>
          <w:lang w:val="en-US" w:eastAsia="zh-CN" w:bidi="ar"/>
        </w:rPr>
      </w:pPr>
      <w:r>
        <w:rPr>
          <w:rFonts w:hint="eastAsia"/>
          <w:b/>
          <w:bCs/>
          <w:lang w:val="en-US" w:eastAsia="zh-CN" w:bidi="ar"/>
        </w:rPr>
        <w:t xml:space="preserve">Proposal </w:t>
      </w:r>
      <w:r>
        <w:rPr>
          <w:b/>
          <w:bCs/>
          <w:lang w:val="en-US" w:eastAsia="zh-CN" w:bidi="ar"/>
        </w:rPr>
        <w:t>8</w:t>
      </w:r>
      <w:r>
        <w:rPr>
          <w:rFonts w:hint="eastAsia"/>
          <w:b/>
          <w:bCs/>
          <w:lang w:val="en-US" w:eastAsia="zh-CN" w:bidi="ar"/>
        </w:rPr>
        <w:t>: The concrete test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rPr>
                <w:b/>
                <w:bCs/>
                <w:lang w:val="en-US" w:eastAsia="zh-CN" w:bidi="ar"/>
              </w:rPr>
            </w:pPr>
            <w:r>
              <w:rPr>
                <w:b/>
                <w:bCs/>
                <w:lang w:val="en-US" w:eastAsia="zh-CN" w:bidi="ar"/>
              </w:rPr>
              <w:t>T</w:t>
            </w:r>
            <w:r>
              <w:rPr>
                <w:b/>
                <w:bCs/>
                <w:vertAlign w:val="subscript"/>
                <w:lang w:val="en-US" w:eastAsia="zh-CN" w:bidi="ar"/>
              </w:rPr>
              <w:t>SI-NR</w:t>
            </w:r>
            <w:r>
              <w:rPr>
                <w:b/>
                <w:bCs/>
                <w:lang w:val="en-US" w:eastAsia="zh-CN" w:bidi="ar"/>
              </w:rPr>
              <w:tab/>
            </w:r>
            <w:r>
              <w:rPr>
                <w:b/>
                <w:bCs/>
                <w:lang w:val="en-US" w:eastAsia="zh-CN" w:bidi="ar"/>
              </w:rPr>
              <w:t xml:space="preserve">Maximum repetition period of relevant system info blocks that needs to be received by the UE to camp on a cell; </w:t>
            </w:r>
            <w:r>
              <w:rPr>
                <w:b/>
                <w:bCs/>
                <w:highlight w:val="yellow"/>
                <w:lang w:val="en-US" w:eastAsia="zh-CN" w:bidi="ar"/>
              </w:rPr>
              <w:t>1</w:t>
            </w:r>
            <w:r>
              <w:rPr>
                <w:rFonts w:hint="eastAsia"/>
                <w:b/>
                <w:bCs/>
                <w:highlight w:val="yellow"/>
                <w:lang w:val="en-US" w:eastAsia="zh-CN" w:bidi="ar"/>
              </w:rPr>
              <w:t>320</w:t>
            </w:r>
            <w:r>
              <w:rPr>
                <w:b/>
                <w:bCs/>
                <w:highlight w:val="yellow"/>
                <w:lang w:val="en-US" w:eastAsia="zh-CN" w:bidi="ar"/>
              </w:rPr>
              <w:t xml:space="preserve"> ms</w:t>
            </w:r>
            <w:r>
              <w:rPr>
                <w:b/>
                <w:bCs/>
                <w:lang w:val="en-US" w:eastAsia="zh-CN" w:bidi="ar"/>
              </w:rPr>
              <w:t xml:space="preserve"> is assumed in this test case provided that SIB1 and SIB19 are scheduled with 20 ms period and 80 ms period, respectively.</w:t>
            </w:r>
          </w:p>
        </w:tc>
      </w:tr>
    </w:tbl>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7"/>
        </w:numPr>
        <w:rPr>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lang w:val="en-US" w:eastAsia="zh-CN"/>
        </w:rPr>
      </w:pPr>
      <w:r>
        <w:rPr>
          <w:rFonts w:hint="eastAsia"/>
          <w:lang w:val="en-US" w:eastAsia="zh-CN"/>
        </w:rPr>
        <w:t>TS38.133</w:t>
      </w:r>
    </w:p>
    <w:p>
      <w:pPr>
        <w:numPr>
          <w:ilvl w:val="0"/>
          <w:numId w:val="7"/>
        </w:numPr>
        <w:rPr>
          <w:lang w:val="en-US" w:eastAsia="zh-CN"/>
        </w:rPr>
      </w:pPr>
      <w:r>
        <w:rPr>
          <w:lang w:val="en-US" w:eastAsia="zh-CN"/>
        </w:rPr>
        <w:t>R4-2508261, WF on RRM requirements for NR_IoT_NTN_req_test_enh, Xiaomi.</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02454704"/>
    <w:multiLevelType w:val="multilevel"/>
    <w:tmpl w:val="024547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4FB4C69"/>
    <w:multiLevelType w:val="multilevel"/>
    <w:tmpl w:val="34FB4C69"/>
    <w:lvl w:ilvl="0" w:tentative="0">
      <w:start w:val="6"/>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5D58311D"/>
    <w:multiLevelType w:val="multilevel"/>
    <w:tmpl w:val="5D5831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297038"/>
    <w:multiLevelType w:val="multilevel"/>
    <w:tmpl w:val="66297038"/>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eastAsia" w:ascii="宋体" w:hAnsi="宋体" w:eastAsia="Times New Roman" w:cs="宋体"/>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6"/>
  </w:num>
  <w:num w:numId="2">
    <w:abstractNumId w:val="3"/>
  </w:num>
  <w:num w:numId="3">
    <w:abstractNumId w:val="5"/>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6C16"/>
    <w:rsid w:val="000A5031"/>
    <w:rsid w:val="000C47C3"/>
    <w:rsid w:val="000D58AB"/>
    <w:rsid w:val="000F1C36"/>
    <w:rsid w:val="00100138"/>
    <w:rsid w:val="0011507D"/>
    <w:rsid w:val="00133525"/>
    <w:rsid w:val="00147E01"/>
    <w:rsid w:val="00152788"/>
    <w:rsid w:val="00157C70"/>
    <w:rsid w:val="001618DF"/>
    <w:rsid w:val="00167FF6"/>
    <w:rsid w:val="00171963"/>
    <w:rsid w:val="00172A27"/>
    <w:rsid w:val="0017640F"/>
    <w:rsid w:val="001A4C42"/>
    <w:rsid w:val="001A7420"/>
    <w:rsid w:val="001B3016"/>
    <w:rsid w:val="001B6637"/>
    <w:rsid w:val="001C21C3"/>
    <w:rsid w:val="001D02C2"/>
    <w:rsid w:val="001F0C1D"/>
    <w:rsid w:val="001F1132"/>
    <w:rsid w:val="001F168B"/>
    <w:rsid w:val="002031EC"/>
    <w:rsid w:val="0021140F"/>
    <w:rsid w:val="00213552"/>
    <w:rsid w:val="00224320"/>
    <w:rsid w:val="002347A2"/>
    <w:rsid w:val="00261B58"/>
    <w:rsid w:val="00266786"/>
    <w:rsid w:val="002675F0"/>
    <w:rsid w:val="002840A1"/>
    <w:rsid w:val="0029118B"/>
    <w:rsid w:val="00295980"/>
    <w:rsid w:val="002B6339"/>
    <w:rsid w:val="002B6ADF"/>
    <w:rsid w:val="002E00EE"/>
    <w:rsid w:val="00300E2F"/>
    <w:rsid w:val="00306508"/>
    <w:rsid w:val="003071CE"/>
    <w:rsid w:val="003172DC"/>
    <w:rsid w:val="0033338C"/>
    <w:rsid w:val="0035462D"/>
    <w:rsid w:val="00366AB5"/>
    <w:rsid w:val="003765B8"/>
    <w:rsid w:val="00384CDA"/>
    <w:rsid w:val="003A71A1"/>
    <w:rsid w:val="003C0FB6"/>
    <w:rsid w:val="003C3971"/>
    <w:rsid w:val="003D429A"/>
    <w:rsid w:val="00401503"/>
    <w:rsid w:val="00423334"/>
    <w:rsid w:val="00424F81"/>
    <w:rsid w:val="00426060"/>
    <w:rsid w:val="004345EC"/>
    <w:rsid w:val="00441014"/>
    <w:rsid w:val="0044364B"/>
    <w:rsid w:val="004452F0"/>
    <w:rsid w:val="00446E94"/>
    <w:rsid w:val="00451FBA"/>
    <w:rsid w:val="00454360"/>
    <w:rsid w:val="00465515"/>
    <w:rsid w:val="00480951"/>
    <w:rsid w:val="004929E3"/>
    <w:rsid w:val="004B2A74"/>
    <w:rsid w:val="004C61CE"/>
    <w:rsid w:val="004D3578"/>
    <w:rsid w:val="004E0DAE"/>
    <w:rsid w:val="004E213A"/>
    <w:rsid w:val="004F0988"/>
    <w:rsid w:val="004F3340"/>
    <w:rsid w:val="00500D81"/>
    <w:rsid w:val="00524708"/>
    <w:rsid w:val="0053388B"/>
    <w:rsid w:val="00535487"/>
    <w:rsid w:val="00535773"/>
    <w:rsid w:val="005378BE"/>
    <w:rsid w:val="00543E6C"/>
    <w:rsid w:val="00546D44"/>
    <w:rsid w:val="0056254B"/>
    <w:rsid w:val="005639EE"/>
    <w:rsid w:val="00565087"/>
    <w:rsid w:val="0057305F"/>
    <w:rsid w:val="005739AF"/>
    <w:rsid w:val="00586E2E"/>
    <w:rsid w:val="00597B11"/>
    <w:rsid w:val="005A706A"/>
    <w:rsid w:val="005B27D3"/>
    <w:rsid w:val="005B4CAB"/>
    <w:rsid w:val="005B5358"/>
    <w:rsid w:val="005B63ED"/>
    <w:rsid w:val="005C103E"/>
    <w:rsid w:val="005C6A8E"/>
    <w:rsid w:val="005D1AC4"/>
    <w:rsid w:val="005D2E01"/>
    <w:rsid w:val="005D7526"/>
    <w:rsid w:val="005E3467"/>
    <w:rsid w:val="005E4BB2"/>
    <w:rsid w:val="005F0C0C"/>
    <w:rsid w:val="006027EB"/>
    <w:rsid w:val="00602AEA"/>
    <w:rsid w:val="006114EB"/>
    <w:rsid w:val="00614FDF"/>
    <w:rsid w:val="00631B7B"/>
    <w:rsid w:val="0063543D"/>
    <w:rsid w:val="0063585B"/>
    <w:rsid w:val="00647114"/>
    <w:rsid w:val="00664948"/>
    <w:rsid w:val="00675027"/>
    <w:rsid w:val="00677A30"/>
    <w:rsid w:val="00686DCA"/>
    <w:rsid w:val="0069600B"/>
    <w:rsid w:val="006A323F"/>
    <w:rsid w:val="006A6F17"/>
    <w:rsid w:val="006B30D0"/>
    <w:rsid w:val="006C1584"/>
    <w:rsid w:val="006C3D95"/>
    <w:rsid w:val="006D340D"/>
    <w:rsid w:val="006D65CF"/>
    <w:rsid w:val="006E5C86"/>
    <w:rsid w:val="006F2905"/>
    <w:rsid w:val="006F4D92"/>
    <w:rsid w:val="006F61D7"/>
    <w:rsid w:val="00701116"/>
    <w:rsid w:val="00713C44"/>
    <w:rsid w:val="00714634"/>
    <w:rsid w:val="00734A5B"/>
    <w:rsid w:val="0074026F"/>
    <w:rsid w:val="007429F6"/>
    <w:rsid w:val="00743C79"/>
    <w:rsid w:val="00744E76"/>
    <w:rsid w:val="00774DA4"/>
    <w:rsid w:val="00781F0F"/>
    <w:rsid w:val="007A7AA8"/>
    <w:rsid w:val="007B600E"/>
    <w:rsid w:val="007B7CA6"/>
    <w:rsid w:val="007F0F4A"/>
    <w:rsid w:val="007F7D67"/>
    <w:rsid w:val="008006C7"/>
    <w:rsid w:val="008028A4"/>
    <w:rsid w:val="008037D8"/>
    <w:rsid w:val="00830747"/>
    <w:rsid w:val="0083684A"/>
    <w:rsid w:val="008768CA"/>
    <w:rsid w:val="008839BA"/>
    <w:rsid w:val="00885367"/>
    <w:rsid w:val="008A6463"/>
    <w:rsid w:val="008B25EC"/>
    <w:rsid w:val="008C384C"/>
    <w:rsid w:val="008D7426"/>
    <w:rsid w:val="008E06DF"/>
    <w:rsid w:val="0090271F"/>
    <w:rsid w:val="00902E23"/>
    <w:rsid w:val="0090360B"/>
    <w:rsid w:val="009114D7"/>
    <w:rsid w:val="0091348E"/>
    <w:rsid w:val="00917CCB"/>
    <w:rsid w:val="00931D89"/>
    <w:rsid w:val="00942EC2"/>
    <w:rsid w:val="00957601"/>
    <w:rsid w:val="00973023"/>
    <w:rsid w:val="0098113E"/>
    <w:rsid w:val="009848EA"/>
    <w:rsid w:val="00985F99"/>
    <w:rsid w:val="009C3E5A"/>
    <w:rsid w:val="009C4E67"/>
    <w:rsid w:val="009F37B7"/>
    <w:rsid w:val="00A02066"/>
    <w:rsid w:val="00A02D62"/>
    <w:rsid w:val="00A10F02"/>
    <w:rsid w:val="00A164B4"/>
    <w:rsid w:val="00A242C3"/>
    <w:rsid w:val="00A26956"/>
    <w:rsid w:val="00A27486"/>
    <w:rsid w:val="00A33562"/>
    <w:rsid w:val="00A411A4"/>
    <w:rsid w:val="00A41BBD"/>
    <w:rsid w:val="00A43C4F"/>
    <w:rsid w:val="00A44C6A"/>
    <w:rsid w:val="00A52507"/>
    <w:rsid w:val="00A53724"/>
    <w:rsid w:val="00A56066"/>
    <w:rsid w:val="00A73129"/>
    <w:rsid w:val="00A82346"/>
    <w:rsid w:val="00A92BA1"/>
    <w:rsid w:val="00A95C70"/>
    <w:rsid w:val="00AA00BB"/>
    <w:rsid w:val="00AC575F"/>
    <w:rsid w:val="00AC6BC6"/>
    <w:rsid w:val="00AD1CB4"/>
    <w:rsid w:val="00AE0975"/>
    <w:rsid w:val="00AE65E2"/>
    <w:rsid w:val="00B0085D"/>
    <w:rsid w:val="00B071E4"/>
    <w:rsid w:val="00B15449"/>
    <w:rsid w:val="00B428A0"/>
    <w:rsid w:val="00B43EC0"/>
    <w:rsid w:val="00B66DD7"/>
    <w:rsid w:val="00B67352"/>
    <w:rsid w:val="00B81824"/>
    <w:rsid w:val="00B8433E"/>
    <w:rsid w:val="00B93086"/>
    <w:rsid w:val="00B93FB3"/>
    <w:rsid w:val="00BA19ED"/>
    <w:rsid w:val="00BA4B8D"/>
    <w:rsid w:val="00BB19C2"/>
    <w:rsid w:val="00BC0519"/>
    <w:rsid w:val="00BC0ECB"/>
    <w:rsid w:val="00BC0F7D"/>
    <w:rsid w:val="00BC7EA1"/>
    <w:rsid w:val="00BD7D31"/>
    <w:rsid w:val="00BE1AE4"/>
    <w:rsid w:val="00BE3255"/>
    <w:rsid w:val="00BF0042"/>
    <w:rsid w:val="00BF128E"/>
    <w:rsid w:val="00C074DD"/>
    <w:rsid w:val="00C1496A"/>
    <w:rsid w:val="00C17734"/>
    <w:rsid w:val="00C33079"/>
    <w:rsid w:val="00C41F2A"/>
    <w:rsid w:val="00C42CDD"/>
    <w:rsid w:val="00C45231"/>
    <w:rsid w:val="00C72833"/>
    <w:rsid w:val="00C80F1D"/>
    <w:rsid w:val="00C93F40"/>
    <w:rsid w:val="00CA3D0C"/>
    <w:rsid w:val="00CB0749"/>
    <w:rsid w:val="00CC0A5E"/>
    <w:rsid w:val="00CC4BC3"/>
    <w:rsid w:val="00CD2E3D"/>
    <w:rsid w:val="00CD381C"/>
    <w:rsid w:val="00CF7FD3"/>
    <w:rsid w:val="00D06813"/>
    <w:rsid w:val="00D12154"/>
    <w:rsid w:val="00D12A57"/>
    <w:rsid w:val="00D221D0"/>
    <w:rsid w:val="00D231F7"/>
    <w:rsid w:val="00D24228"/>
    <w:rsid w:val="00D34121"/>
    <w:rsid w:val="00D544DE"/>
    <w:rsid w:val="00D57972"/>
    <w:rsid w:val="00D626AC"/>
    <w:rsid w:val="00D6299F"/>
    <w:rsid w:val="00D644EA"/>
    <w:rsid w:val="00D675A9"/>
    <w:rsid w:val="00D738D6"/>
    <w:rsid w:val="00D755EB"/>
    <w:rsid w:val="00D76048"/>
    <w:rsid w:val="00D86B13"/>
    <w:rsid w:val="00D87E00"/>
    <w:rsid w:val="00D9134D"/>
    <w:rsid w:val="00DA7A03"/>
    <w:rsid w:val="00DB1818"/>
    <w:rsid w:val="00DC309B"/>
    <w:rsid w:val="00DC4DA2"/>
    <w:rsid w:val="00DD4C17"/>
    <w:rsid w:val="00DD74A5"/>
    <w:rsid w:val="00DE0AB6"/>
    <w:rsid w:val="00DF2B1F"/>
    <w:rsid w:val="00DF62CD"/>
    <w:rsid w:val="00E1096E"/>
    <w:rsid w:val="00E16509"/>
    <w:rsid w:val="00E44582"/>
    <w:rsid w:val="00E67D16"/>
    <w:rsid w:val="00E73DA7"/>
    <w:rsid w:val="00E75B0A"/>
    <w:rsid w:val="00E77645"/>
    <w:rsid w:val="00E82959"/>
    <w:rsid w:val="00E8433B"/>
    <w:rsid w:val="00E84E43"/>
    <w:rsid w:val="00EA15B0"/>
    <w:rsid w:val="00EA5EA7"/>
    <w:rsid w:val="00EC4A25"/>
    <w:rsid w:val="00EF13CA"/>
    <w:rsid w:val="00EF450B"/>
    <w:rsid w:val="00F025A2"/>
    <w:rsid w:val="00F041A0"/>
    <w:rsid w:val="00F04712"/>
    <w:rsid w:val="00F13360"/>
    <w:rsid w:val="00F22EC7"/>
    <w:rsid w:val="00F27602"/>
    <w:rsid w:val="00F325C8"/>
    <w:rsid w:val="00F51A04"/>
    <w:rsid w:val="00F653B8"/>
    <w:rsid w:val="00F76708"/>
    <w:rsid w:val="00F80376"/>
    <w:rsid w:val="00F80895"/>
    <w:rsid w:val="00F81ABF"/>
    <w:rsid w:val="00F9008D"/>
    <w:rsid w:val="00FA1266"/>
    <w:rsid w:val="00FA4E78"/>
    <w:rsid w:val="00FC1192"/>
    <w:rsid w:val="00FC2DB4"/>
    <w:rsid w:val="00FC3B87"/>
    <w:rsid w:val="011629BA"/>
    <w:rsid w:val="01295F0D"/>
    <w:rsid w:val="01410DC2"/>
    <w:rsid w:val="01536085"/>
    <w:rsid w:val="0158163D"/>
    <w:rsid w:val="01652E48"/>
    <w:rsid w:val="01862D0E"/>
    <w:rsid w:val="018F1743"/>
    <w:rsid w:val="018F25C8"/>
    <w:rsid w:val="01906A5B"/>
    <w:rsid w:val="01907C39"/>
    <w:rsid w:val="019F41BD"/>
    <w:rsid w:val="01BE3BEC"/>
    <w:rsid w:val="01CE0603"/>
    <w:rsid w:val="01D51FE8"/>
    <w:rsid w:val="01D55A0F"/>
    <w:rsid w:val="01E70C97"/>
    <w:rsid w:val="01EA15CF"/>
    <w:rsid w:val="021951FF"/>
    <w:rsid w:val="023A59BC"/>
    <w:rsid w:val="02402E7C"/>
    <w:rsid w:val="02505886"/>
    <w:rsid w:val="025A5C68"/>
    <w:rsid w:val="027C74A2"/>
    <w:rsid w:val="029011A2"/>
    <w:rsid w:val="02A03627"/>
    <w:rsid w:val="02B66382"/>
    <w:rsid w:val="02D45932"/>
    <w:rsid w:val="02D60658"/>
    <w:rsid w:val="02DB4554"/>
    <w:rsid w:val="02DD1CD4"/>
    <w:rsid w:val="02DF0D66"/>
    <w:rsid w:val="02EC4357"/>
    <w:rsid w:val="02EE768C"/>
    <w:rsid w:val="02FA1082"/>
    <w:rsid w:val="031778E0"/>
    <w:rsid w:val="0327096F"/>
    <w:rsid w:val="032737B0"/>
    <w:rsid w:val="032A315A"/>
    <w:rsid w:val="033C405D"/>
    <w:rsid w:val="033F707D"/>
    <w:rsid w:val="034339E7"/>
    <w:rsid w:val="03481CC2"/>
    <w:rsid w:val="034E163D"/>
    <w:rsid w:val="034F02E2"/>
    <w:rsid w:val="03572405"/>
    <w:rsid w:val="035D2A45"/>
    <w:rsid w:val="037709BE"/>
    <w:rsid w:val="037A1943"/>
    <w:rsid w:val="03B04920"/>
    <w:rsid w:val="03BB7678"/>
    <w:rsid w:val="03BF3D9F"/>
    <w:rsid w:val="03BF72E7"/>
    <w:rsid w:val="03C80AD2"/>
    <w:rsid w:val="03C95263"/>
    <w:rsid w:val="03CA7EB2"/>
    <w:rsid w:val="03F0584F"/>
    <w:rsid w:val="03FB5627"/>
    <w:rsid w:val="04043AA5"/>
    <w:rsid w:val="04076F95"/>
    <w:rsid w:val="0409766A"/>
    <w:rsid w:val="041D49CF"/>
    <w:rsid w:val="04242812"/>
    <w:rsid w:val="042476C6"/>
    <w:rsid w:val="042D44F5"/>
    <w:rsid w:val="04383CC9"/>
    <w:rsid w:val="043C7B6F"/>
    <w:rsid w:val="043F68C7"/>
    <w:rsid w:val="04421BA4"/>
    <w:rsid w:val="044B12E0"/>
    <w:rsid w:val="046301A2"/>
    <w:rsid w:val="04732FB8"/>
    <w:rsid w:val="04871DE8"/>
    <w:rsid w:val="048F6485"/>
    <w:rsid w:val="04A12403"/>
    <w:rsid w:val="04A5408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C4826"/>
    <w:rsid w:val="05AD05DE"/>
    <w:rsid w:val="05AE2916"/>
    <w:rsid w:val="05B1379B"/>
    <w:rsid w:val="05C20597"/>
    <w:rsid w:val="05C6466C"/>
    <w:rsid w:val="05D94925"/>
    <w:rsid w:val="05DB67C3"/>
    <w:rsid w:val="05E60F0C"/>
    <w:rsid w:val="05F02736"/>
    <w:rsid w:val="05F61BB8"/>
    <w:rsid w:val="06026AB1"/>
    <w:rsid w:val="06043605"/>
    <w:rsid w:val="06095400"/>
    <w:rsid w:val="060D0D66"/>
    <w:rsid w:val="061F2E9B"/>
    <w:rsid w:val="062C2061"/>
    <w:rsid w:val="062D43AF"/>
    <w:rsid w:val="06311BAC"/>
    <w:rsid w:val="063409FE"/>
    <w:rsid w:val="06382368"/>
    <w:rsid w:val="06785C08"/>
    <w:rsid w:val="067C67DB"/>
    <w:rsid w:val="067F65D2"/>
    <w:rsid w:val="068158A4"/>
    <w:rsid w:val="06A05FC0"/>
    <w:rsid w:val="06AE1485"/>
    <w:rsid w:val="06AE70E8"/>
    <w:rsid w:val="06E54956"/>
    <w:rsid w:val="06F01EEF"/>
    <w:rsid w:val="07002189"/>
    <w:rsid w:val="07007517"/>
    <w:rsid w:val="07073FA3"/>
    <w:rsid w:val="070B52BC"/>
    <w:rsid w:val="070F1174"/>
    <w:rsid w:val="072F7FC6"/>
    <w:rsid w:val="0732584E"/>
    <w:rsid w:val="074109F4"/>
    <w:rsid w:val="07583E9D"/>
    <w:rsid w:val="075A7EF6"/>
    <w:rsid w:val="076202A2"/>
    <w:rsid w:val="076A2A73"/>
    <w:rsid w:val="07794834"/>
    <w:rsid w:val="078759D7"/>
    <w:rsid w:val="079D059C"/>
    <w:rsid w:val="07AE506C"/>
    <w:rsid w:val="07C05808"/>
    <w:rsid w:val="07C22AAD"/>
    <w:rsid w:val="07C3764D"/>
    <w:rsid w:val="07C644D1"/>
    <w:rsid w:val="07F66AC5"/>
    <w:rsid w:val="07FA2981"/>
    <w:rsid w:val="0809009E"/>
    <w:rsid w:val="081F651B"/>
    <w:rsid w:val="0833764C"/>
    <w:rsid w:val="083F5297"/>
    <w:rsid w:val="084677D5"/>
    <w:rsid w:val="0848005E"/>
    <w:rsid w:val="084B1A9E"/>
    <w:rsid w:val="084C657D"/>
    <w:rsid w:val="084D12F0"/>
    <w:rsid w:val="087B6B61"/>
    <w:rsid w:val="087E40F9"/>
    <w:rsid w:val="08876410"/>
    <w:rsid w:val="08916AA8"/>
    <w:rsid w:val="089F664F"/>
    <w:rsid w:val="08A153B1"/>
    <w:rsid w:val="08A203F3"/>
    <w:rsid w:val="08AF00C1"/>
    <w:rsid w:val="08B531C0"/>
    <w:rsid w:val="08BB1078"/>
    <w:rsid w:val="08BD1F16"/>
    <w:rsid w:val="08BD5CAB"/>
    <w:rsid w:val="08C469E4"/>
    <w:rsid w:val="08D53034"/>
    <w:rsid w:val="08D726AC"/>
    <w:rsid w:val="08DA28B3"/>
    <w:rsid w:val="08DD2BEF"/>
    <w:rsid w:val="0903652D"/>
    <w:rsid w:val="090556C6"/>
    <w:rsid w:val="09104DCD"/>
    <w:rsid w:val="0913040F"/>
    <w:rsid w:val="094C40B4"/>
    <w:rsid w:val="095B4A62"/>
    <w:rsid w:val="095E44C6"/>
    <w:rsid w:val="09606948"/>
    <w:rsid w:val="096D7D04"/>
    <w:rsid w:val="096E0D4F"/>
    <w:rsid w:val="09736AE0"/>
    <w:rsid w:val="099C4684"/>
    <w:rsid w:val="09BB6580"/>
    <w:rsid w:val="09C01D0D"/>
    <w:rsid w:val="09D54231"/>
    <w:rsid w:val="09E30E5D"/>
    <w:rsid w:val="09F25D5F"/>
    <w:rsid w:val="09FD5B3B"/>
    <w:rsid w:val="0A1131EF"/>
    <w:rsid w:val="0A141797"/>
    <w:rsid w:val="0A143BE1"/>
    <w:rsid w:val="0A220AAD"/>
    <w:rsid w:val="0A263E9C"/>
    <w:rsid w:val="0A286DFB"/>
    <w:rsid w:val="0A5002F7"/>
    <w:rsid w:val="0A5164D1"/>
    <w:rsid w:val="0A5C7B97"/>
    <w:rsid w:val="0A5E0EE3"/>
    <w:rsid w:val="0A6C43DE"/>
    <w:rsid w:val="0AB5270A"/>
    <w:rsid w:val="0ABC02E8"/>
    <w:rsid w:val="0AC16484"/>
    <w:rsid w:val="0AC85DBB"/>
    <w:rsid w:val="0ACB2015"/>
    <w:rsid w:val="0AD20D5E"/>
    <w:rsid w:val="0AD555AC"/>
    <w:rsid w:val="0AED24FC"/>
    <w:rsid w:val="0B0F4A80"/>
    <w:rsid w:val="0B1B1997"/>
    <w:rsid w:val="0B24532C"/>
    <w:rsid w:val="0B3F6621"/>
    <w:rsid w:val="0B46021F"/>
    <w:rsid w:val="0B4D2A88"/>
    <w:rsid w:val="0B527B25"/>
    <w:rsid w:val="0B5B4CA4"/>
    <w:rsid w:val="0B5E04B4"/>
    <w:rsid w:val="0B5E0983"/>
    <w:rsid w:val="0B5F6A9A"/>
    <w:rsid w:val="0B6A4840"/>
    <w:rsid w:val="0B707256"/>
    <w:rsid w:val="0B7129F9"/>
    <w:rsid w:val="0B744B6D"/>
    <w:rsid w:val="0B7E60C9"/>
    <w:rsid w:val="0B8730CC"/>
    <w:rsid w:val="0B927AF3"/>
    <w:rsid w:val="0B997D22"/>
    <w:rsid w:val="0BA069F6"/>
    <w:rsid w:val="0BA238F9"/>
    <w:rsid w:val="0BB6397D"/>
    <w:rsid w:val="0BC97B63"/>
    <w:rsid w:val="0BCE29C3"/>
    <w:rsid w:val="0BD644F2"/>
    <w:rsid w:val="0BE05B3D"/>
    <w:rsid w:val="0BEB139D"/>
    <w:rsid w:val="0BEF4F2C"/>
    <w:rsid w:val="0BF03462"/>
    <w:rsid w:val="0BF56721"/>
    <w:rsid w:val="0BF606AD"/>
    <w:rsid w:val="0C1E2E71"/>
    <w:rsid w:val="0C2D4BD9"/>
    <w:rsid w:val="0C5161F8"/>
    <w:rsid w:val="0C52360D"/>
    <w:rsid w:val="0C6B5BA9"/>
    <w:rsid w:val="0C6E60F3"/>
    <w:rsid w:val="0C7C1976"/>
    <w:rsid w:val="0C830617"/>
    <w:rsid w:val="0C8D69A8"/>
    <w:rsid w:val="0CA92A55"/>
    <w:rsid w:val="0CAC6DE2"/>
    <w:rsid w:val="0CBA5E3E"/>
    <w:rsid w:val="0CCB3B11"/>
    <w:rsid w:val="0CCB739F"/>
    <w:rsid w:val="0CDE5118"/>
    <w:rsid w:val="0CDE55BC"/>
    <w:rsid w:val="0CDF3914"/>
    <w:rsid w:val="0CE7776D"/>
    <w:rsid w:val="0CEA2CF7"/>
    <w:rsid w:val="0D035130"/>
    <w:rsid w:val="0D0D0439"/>
    <w:rsid w:val="0D205F17"/>
    <w:rsid w:val="0D23336E"/>
    <w:rsid w:val="0D284B82"/>
    <w:rsid w:val="0D2D1208"/>
    <w:rsid w:val="0D3A44E0"/>
    <w:rsid w:val="0D3A5239"/>
    <w:rsid w:val="0D3A7039"/>
    <w:rsid w:val="0D4356A8"/>
    <w:rsid w:val="0D826EB5"/>
    <w:rsid w:val="0D8735F9"/>
    <w:rsid w:val="0D8972A3"/>
    <w:rsid w:val="0D8C24E1"/>
    <w:rsid w:val="0D94436C"/>
    <w:rsid w:val="0D957CC2"/>
    <w:rsid w:val="0D980C13"/>
    <w:rsid w:val="0DAA20C3"/>
    <w:rsid w:val="0DB607B8"/>
    <w:rsid w:val="0DC22600"/>
    <w:rsid w:val="0DC51AC4"/>
    <w:rsid w:val="0DC63EF2"/>
    <w:rsid w:val="0DD75C5E"/>
    <w:rsid w:val="0DE9579A"/>
    <w:rsid w:val="0DE969F5"/>
    <w:rsid w:val="0DFF4B13"/>
    <w:rsid w:val="0E0132C0"/>
    <w:rsid w:val="0E041001"/>
    <w:rsid w:val="0E093416"/>
    <w:rsid w:val="0E0B7894"/>
    <w:rsid w:val="0E0C3E0B"/>
    <w:rsid w:val="0E1F1160"/>
    <w:rsid w:val="0E402695"/>
    <w:rsid w:val="0E4F7F50"/>
    <w:rsid w:val="0E5C591E"/>
    <w:rsid w:val="0E6A704C"/>
    <w:rsid w:val="0E6B4543"/>
    <w:rsid w:val="0E777792"/>
    <w:rsid w:val="0E7B1FCA"/>
    <w:rsid w:val="0E880E39"/>
    <w:rsid w:val="0E920377"/>
    <w:rsid w:val="0E9D025B"/>
    <w:rsid w:val="0EA8225F"/>
    <w:rsid w:val="0ED01837"/>
    <w:rsid w:val="0ED33A29"/>
    <w:rsid w:val="0ED8660B"/>
    <w:rsid w:val="0EF97174"/>
    <w:rsid w:val="0EF97BEC"/>
    <w:rsid w:val="0F0F3D45"/>
    <w:rsid w:val="0F110062"/>
    <w:rsid w:val="0F2550AA"/>
    <w:rsid w:val="0F2B36C0"/>
    <w:rsid w:val="0F3A116B"/>
    <w:rsid w:val="0F4920A4"/>
    <w:rsid w:val="0F4942A2"/>
    <w:rsid w:val="0F4A66BD"/>
    <w:rsid w:val="0F511411"/>
    <w:rsid w:val="0F703346"/>
    <w:rsid w:val="0F80004E"/>
    <w:rsid w:val="0F871EAB"/>
    <w:rsid w:val="0F9D3FD2"/>
    <w:rsid w:val="0F9F1528"/>
    <w:rsid w:val="0FDF5A14"/>
    <w:rsid w:val="0FEA5AC5"/>
    <w:rsid w:val="0FFE2B89"/>
    <w:rsid w:val="0FFF3FF2"/>
    <w:rsid w:val="1008703A"/>
    <w:rsid w:val="10126FBC"/>
    <w:rsid w:val="103809FF"/>
    <w:rsid w:val="106F495E"/>
    <w:rsid w:val="10764104"/>
    <w:rsid w:val="10872D51"/>
    <w:rsid w:val="108A5F33"/>
    <w:rsid w:val="108E01E0"/>
    <w:rsid w:val="108F6F5D"/>
    <w:rsid w:val="1094235B"/>
    <w:rsid w:val="1096068D"/>
    <w:rsid w:val="109F23E5"/>
    <w:rsid w:val="10B951CF"/>
    <w:rsid w:val="10BB3068"/>
    <w:rsid w:val="10CF68EB"/>
    <w:rsid w:val="10D24280"/>
    <w:rsid w:val="10D82C05"/>
    <w:rsid w:val="10D92C55"/>
    <w:rsid w:val="10FC1774"/>
    <w:rsid w:val="10FC7A16"/>
    <w:rsid w:val="110D2C89"/>
    <w:rsid w:val="110E3EB6"/>
    <w:rsid w:val="11131D94"/>
    <w:rsid w:val="111778A8"/>
    <w:rsid w:val="111E4B32"/>
    <w:rsid w:val="1124277B"/>
    <w:rsid w:val="113B4A52"/>
    <w:rsid w:val="114E27DA"/>
    <w:rsid w:val="114E4423"/>
    <w:rsid w:val="115C186C"/>
    <w:rsid w:val="11617971"/>
    <w:rsid w:val="11622F64"/>
    <w:rsid w:val="116F4939"/>
    <w:rsid w:val="117400AF"/>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20257B2"/>
    <w:rsid w:val="12044AB3"/>
    <w:rsid w:val="120C7685"/>
    <w:rsid w:val="121015B2"/>
    <w:rsid w:val="121D1954"/>
    <w:rsid w:val="12277752"/>
    <w:rsid w:val="12342A01"/>
    <w:rsid w:val="12371472"/>
    <w:rsid w:val="12497AD0"/>
    <w:rsid w:val="12502219"/>
    <w:rsid w:val="12533BE9"/>
    <w:rsid w:val="1255374D"/>
    <w:rsid w:val="12563736"/>
    <w:rsid w:val="12605699"/>
    <w:rsid w:val="126548EE"/>
    <w:rsid w:val="12817181"/>
    <w:rsid w:val="12855EBB"/>
    <w:rsid w:val="128A5579"/>
    <w:rsid w:val="12911818"/>
    <w:rsid w:val="129E41E5"/>
    <w:rsid w:val="12AA4BE9"/>
    <w:rsid w:val="12B1333A"/>
    <w:rsid w:val="12C003F7"/>
    <w:rsid w:val="12C7679B"/>
    <w:rsid w:val="12DD774D"/>
    <w:rsid w:val="12E20B88"/>
    <w:rsid w:val="130D494D"/>
    <w:rsid w:val="13202B24"/>
    <w:rsid w:val="13283A05"/>
    <w:rsid w:val="133E4EC4"/>
    <w:rsid w:val="134B7D6A"/>
    <w:rsid w:val="135702FC"/>
    <w:rsid w:val="13581549"/>
    <w:rsid w:val="136404F3"/>
    <w:rsid w:val="137E2663"/>
    <w:rsid w:val="13B61E8E"/>
    <w:rsid w:val="13C23A1B"/>
    <w:rsid w:val="13C76244"/>
    <w:rsid w:val="13CB17CC"/>
    <w:rsid w:val="13CF28FB"/>
    <w:rsid w:val="13DA7C15"/>
    <w:rsid w:val="13E10AD9"/>
    <w:rsid w:val="13EA1322"/>
    <w:rsid w:val="13EA5E5F"/>
    <w:rsid w:val="13F74226"/>
    <w:rsid w:val="140329A8"/>
    <w:rsid w:val="14107AE9"/>
    <w:rsid w:val="14157DFD"/>
    <w:rsid w:val="14175E0A"/>
    <w:rsid w:val="141F1BA5"/>
    <w:rsid w:val="142A2204"/>
    <w:rsid w:val="144E7AE0"/>
    <w:rsid w:val="1452019E"/>
    <w:rsid w:val="145E5A4D"/>
    <w:rsid w:val="1472255F"/>
    <w:rsid w:val="14782396"/>
    <w:rsid w:val="148942E3"/>
    <w:rsid w:val="148B031E"/>
    <w:rsid w:val="14AC25B0"/>
    <w:rsid w:val="14AE0BED"/>
    <w:rsid w:val="14AF303C"/>
    <w:rsid w:val="14BE1377"/>
    <w:rsid w:val="14BE55AD"/>
    <w:rsid w:val="14E52CFF"/>
    <w:rsid w:val="15010F20"/>
    <w:rsid w:val="1502113A"/>
    <w:rsid w:val="151308D4"/>
    <w:rsid w:val="15281376"/>
    <w:rsid w:val="153A74E0"/>
    <w:rsid w:val="15422545"/>
    <w:rsid w:val="15515573"/>
    <w:rsid w:val="156508EF"/>
    <w:rsid w:val="15693006"/>
    <w:rsid w:val="156C0A74"/>
    <w:rsid w:val="15716A99"/>
    <w:rsid w:val="157177C3"/>
    <w:rsid w:val="15755788"/>
    <w:rsid w:val="157F2CB1"/>
    <w:rsid w:val="1581047E"/>
    <w:rsid w:val="15895642"/>
    <w:rsid w:val="15A444EB"/>
    <w:rsid w:val="15A75916"/>
    <w:rsid w:val="15B0540D"/>
    <w:rsid w:val="15B7532E"/>
    <w:rsid w:val="15C30D5B"/>
    <w:rsid w:val="15C84147"/>
    <w:rsid w:val="15C87176"/>
    <w:rsid w:val="15CA017F"/>
    <w:rsid w:val="15D44CB9"/>
    <w:rsid w:val="15D64DE0"/>
    <w:rsid w:val="15D71AD5"/>
    <w:rsid w:val="15D908D7"/>
    <w:rsid w:val="15DC38C2"/>
    <w:rsid w:val="15F23B4A"/>
    <w:rsid w:val="15FC08F6"/>
    <w:rsid w:val="15FF5FA5"/>
    <w:rsid w:val="160339FE"/>
    <w:rsid w:val="16385E17"/>
    <w:rsid w:val="1646133C"/>
    <w:rsid w:val="16535A2F"/>
    <w:rsid w:val="165931D9"/>
    <w:rsid w:val="16682D3E"/>
    <w:rsid w:val="167046E9"/>
    <w:rsid w:val="16707B6C"/>
    <w:rsid w:val="1679566E"/>
    <w:rsid w:val="167E382D"/>
    <w:rsid w:val="16B64EC9"/>
    <w:rsid w:val="16BD5C6B"/>
    <w:rsid w:val="16C14D16"/>
    <w:rsid w:val="16C8771D"/>
    <w:rsid w:val="16DC0535"/>
    <w:rsid w:val="16DC19C3"/>
    <w:rsid w:val="16F31A11"/>
    <w:rsid w:val="16FA20DA"/>
    <w:rsid w:val="17045852"/>
    <w:rsid w:val="17060D55"/>
    <w:rsid w:val="170716B6"/>
    <w:rsid w:val="170F5DE2"/>
    <w:rsid w:val="17152764"/>
    <w:rsid w:val="17203431"/>
    <w:rsid w:val="172C56B5"/>
    <w:rsid w:val="1748083E"/>
    <w:rsid w:val="17553F9F"/>
    <w:rsid w:val="175623CE"/>
    <w:rsid w:val="175D0E4A"/>
    <w:rsid w:val="175E2809"/>
    <w:rsid w:val="176538DA"/>
    <w:rsid w:val="17787D90"/>
    <w:rsid w:val="1794775D"/>
    <w:rsid w:val="17B11330"/>
    <w:rsid w:val="17C376AD"/>
    <w:rsid w:val="17CB4905"/>
    <w:rsid w:val="17D01F3A"/>
    <w:rsid w:val="17DC7DAF"/>
    <w:rsid w:val="17DF40F7"/>
    <w:rsid w:val="180E4FC5"/>
    <w:rsid w:val="18171331"/>
    <w:rsid w:val="181F3A21"/>
    <w:rsid w:val="182B7833"/>
    <w:rsid w:val="18396192"/>
    <w:rsid w:val="184A4BE3"/>
    <w:rsid w:val="18500258"/>
    <w:rsid w:val="185060EC"/>
    <w:rsid w:val="185136D2"/>
    <w:rsid w:val="18543427"/>
    <w:rsid w:val="18545FAF"/>
    <w:rsid w:val="18576923"/>
    <w:rsid w:val="185A42FA"/>
    <w:rsid w:val="18870C54"/>
    <w:rsid w:val="189D2207"/>
    <w:rsid w:val="18A45C40"/>
    <w:rsid w:val="18CA2CBB"/>
    <w:rsid w:val="18D57338"/>
    <w:rsid w:val="18D6054D"/>
    <w:rsid w:val="18DA3216"/>
    <w:rsid w:val="18E96032"/>
    <w:rsid w:val="18EE62E8"/>
    <w:rsid w:val="18F93D3B"/>
    <w:rsid w:val="18F96461"/>
    <w:rsid w:val="18FF308F"/>
    <w:rsid w:val="19094BBF"/>
    <w:rsid w:val="19116F8E"/>
    <w:rsid w:val="194E6691"/>
    <w:rsid w:val="19551A74"/>
    <w:rsid w:val="195942F0"/>
    <w:rsid w:val="195F7D63"/>
    <w:rsid w:val="196A5FC1"/>
    <w:rsid w:val="196B18E4"/>
    <w:rsid w:val="197A625B"/>
    <w:rsid w:val="197C2433"/>
    <w:rsid w:val="19852141"/>
    <w:rsid w:val="19933139"/>
    <w:rsid w:val="199C0571"/>
    <w:rsid w:val="19A370D2"/>
    <w:rsid w:val="19AC4F46"/>
    <w:rsid w:val="19BD7FCA"/>
    <w:rsid w:val="19C83DDC"/>
    <w:rsid w:val="19D57461"/>
    <w:rsid w:val="19E5590B"/>
    <w:rsid w:val="19E74602"/>
    <w:rsid w:val="19EE7D0B"/>
    <w:rsid w:val="1A077D86"/>
    <w:rsid w:val="1A085685"/>
    <w:rsid w:val="1A191F3E"/>
    <w:rsid w:val="1A237B53"/>
    <w:rsid w:val="1A342071"/>
    <w:rsid w:val="1A477B50"/>
    <w:rsid w:val="1A5163D6"/>
    <w:rsid w:val="1A54768F"/>
    <w:rsid w:val="1A5A669E"/>
    <w:rsid w:val="1A706484"/>
    <w:rsid w:val="1A751CA9"/>
    <w:rsid w:val="1A796C32"/>
    <w:rsid w:val="1A9B6333"/>
    <w:rsid w:val="1AA11028"/>
    <w:rsid w:val="1AB623A5"/>
    <w:rsid w:val="1AB9028C"/>
    <w:rsid w:val="1AB91166"/>
    <w:rsid w:val="1ABD699B"/>
    <w:rsid w:val="1AC56317"/>
    <w:rsid w:val="1AD6319E"/>
    <w:rsid w:val="1ADC0670"/>
    <w:rsid w:val="1AE47B80"/>
    <w:rsid w:val="1B176C50"/>
    <w:rsid w:val="1B455918"/>
    <w:rsid w:val="1B4B651F"/>
    <w:rsid w:val="1B603B7C"/>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1D36F1"/>
    <w:rsid w:val="1C1F1D32"/>
    <w:rsid w:val="1C200EAE"/>
    <w:rsid w:val="1C291BAA"/>
    <w:rsid w:val="1C386892"/>
    <w:rsid w:val="1C3A035E"/>
    <w:rsid w:val="1C4A2683"/>
    <w:rsid w:val="1C502501"/>
    <w:rsid w:val="1C5F292D"/>
    <w:rsid w:val="1C5F3B2B"/>
    <w:rsid w:val="1C631E26"/>
    <w:rsid w:val="1C743F21"/>
    <w:rsid w:val="1C7530BF"/>
    <w:rsid w:val="1C83150F"/>
    <w:rsid w:val="1C8361D3"/>
    <w:rsid w:val="1C933922"/>
    <w:rsid w:val="1C954E9B"/>
    <w:rsid w:val="1CBB1BB0"/>
    <w:rsid w:val="1CBC5611"/>
    <w:rsid w:val="1CCB7770"/>
    <w:rsid w:val="1CD22EF6"/>
    <w:rsid w:val="1CD7177C"/>
    <w:rsid w:val="1CE17872"/>
    <w:rsid w:val="1CF005FD"/>
    <w:rsid w:val="1CF6531E"/>
    <w:rsid w:val="1CF73467"/>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2503B1"/>
    <w:rsid w:val="1E302A17"/>
    <w:rsid w:val="1E4719A3"/>
    <w:rsid w:val="1E551952"/>
    <w:rsid w:val="1E5F1F97"/>
    <w:rsid w:val="1E6C5F4E"/>
    <w:rsid w:val="1E755015"/>
    <w:rsid w:val="1E944CBA"/>
    <w:rsid w:val="1E974B7D"/>
    <w:rsid w:val="1EA42272"/>
    <w:rsid w:val="1EA65561"/>
    <w:rsid w:val="1EAD4127"/>
    <w:rsid w:val="1EB70BD9"/>
    <w:rsid w:val="1EB8797A"/>
    <w:rsid w:val="1EE142F9"/>
    <w:rsid w:val="1EEC719E"/>
    <w:rsid w:val="1EEE2F09"/>
    <w:rsid w:val="1EF7018A"/>
    <w:rsid w:val="1F0242AA"/>
    <w:rsid w:val="1F044236"/>
    <w:rsid w:val="1F0813F5"/>
    <w:rsid w:val="1F08757A"/>
    <w:rsid w:val="1F111D05"/>
    <w:rsid w:val="1F14362A"/>
    <w:rsid w:val="1F25251D"/>
    <w:rsid w:val="1F2B5438"/>
    <w:rsid w:val="1F390590"/>
    <w:rsid w:val="1F424A01"/>
    <w:rsid w:val="1F4B0BE5"/>
    <w:rsid w:val="1F4C33CB"/>
    <w:rsid w:val="1F4C6748"/>
    <w:rsid w:val="1F560F2F"/>
    <w:rsid w:val="1F595467"/>
    <w:rsid w:val="1F5B2F4F"/>
    <w:rsid w:val="1F5C06A1"/>
    <w:rsid w:val="1F774357"/>
    <w:rsid w:val="1F7D4C37"/>
    <w:rsid w:val="1F85321F"/>
    <w:rsid w:val="1FA52B02"/>
    <w:rsid w:val="1FA93A51"/>
    <w:rsid w:val="1FB80942"/>
    <w:rsid w:val="1FBB5482"/>
    <w:rsid w:val="1FCE373D"/>
    <w:rsid w:val="2001262E"/>
    <w:rsid w:val="200D64BE"/>
    <w:rsid w:val="20153599"/>
    <w:rsid w:val="201B2789"/>
    <w:rsid w:val="20214DF0"/>
    <w:rsid w:val="20256516"/>
    <w:rsid w:val="20584BED"/>
    <w:rsid w:val="207F7CDD"/>
    <w:rsid w:val="20A4578F"/>
    <w:rsid w:val="20BC55C4"/>
    <w:rsid w:val="20BF1816"/>
    <w:rsid w:val="20CA6414"/>
    <w:rsid w:val="20D40A6C"/>
    <w:rsid w:val="20D60AAE"/>
    <w:rsid w:val="20D94EF4"/>
    <w:rsid w:val="21046ABD"/>
    <w:rsid w:val="21061BA2"/>
    <w:rsid w:val="2121427E"/>
    <w:rsid w:val="21262CBA"/>
    <w:rsid w:val="212B1C97"/>
    <w:rsid w:val="21361FB5"/>
    <w:rsid w:val="214B3D89"/>
    <w:rsid w:val="2154483D"/>
    <w:rsid w:val="21575426"/>
    <w:rsid w:val="215C1F77"/>
    <w:rsid w:val="216C7D5C"/>
    <w:rsid w:val="2177769E"/>
    <w:rsid w:val="217C4489"/>
    <w:rsid w:val="21A93954"/>
    <w:rsid w:val="21AF7109"/>
    <w:rsid w:val="21D13E07"/>
    <w:rsid w:val="21D25FF2"/>
    <w:rsid w:val="21D35B8A"/>
    <w:rsid w:val="21D5280D"/>
    <w:rsid w:val="21EB6B55"/>
    <w:rsid w:val="21F70210"/>
    <w:rsid w:val="22110474"/>
    <w:rsid w:val="221A4505"/>
    <w:rsid w:val="221E0187"/>
    <w:rsid w:val="22344A9E"/>
    <w:rsid w:val="22363269"/>
    <w:rsid w:val="223C2DAF"/>
    <w:rsid w:val="223E2651"/>
    <w:rsid w:val="224E39C0"/>
    <w:rsid w:val="226575C4"/>
    <w:rsid w:val="22682C5C"/>
    <w:rsid w:val="226D3EEA"/>
    <w:rsid w:val="226E077B"/>
    <w:rsid w:val="22800451"/>
    <w:rsid w:val="228935B5"/>
    <w:rsid w:val="22923DE9"/>
    <w:rsid w:val="22973417"/>
    <w:rsid w:val="229D5794"/>
    <w:rsid w:val="22AD1241"/>
    <w:rsid w:val="22AF6202"/>
    <w:rsid w:val="22BE600E"/>
    <w:rsid w:val="22C17DB5"/>
    <w:rsid w:val="22C32593"/>
    <w:rsid w:val="22C629AC"/>
    <w:rsid w:val="22D6244E"/>
    <w:rsid w:val="22DD27AA"/>
    <w:rsid w:val="22E96F92"/>
    <w:rsid w:val="22F7746D"/>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11FB2"/>
    <w:rsid w:val="23BD1C54"/>
    <w:rsid w:val="23D90902"/>
    <w:rsid w:val="23DA1C5E"/>
    <w:rsid w:val="23EF0BE1"/>
    <w:rsid w:val="23FA709A"/>
    <w:rsid w:val="24002E5E"/>
    <w:rsid w:val="24146117"/>
    <w:rsid w:val="24232DE5"/>
    <w:rsid w:val="2424697F"/>
    <w:rsid w:val="243E0DB0"/>
    <w:rsid w:val="244A408C"/>
    <w:rsid w:val="245A6743"/>
    <w:rsid w:val="246A08B9"/>
    <w:rsid w:val="24754B15"/>
    <w:rsid w:val="247F64CC"/>
    <w:rsid w:val="248D420D"/>
    <w:rsid w:val="24921B27"/>
    <w:rsid w:val="24A0121D"/>
    <w:rsid w:val="24B0652D"/>
    <w:rsid w:val="24B97631"/>
    <w:rsid w:val="24C90419"/>
    <w:rsid w:val="24CC6FAC"/>
    <w:rsid w:val="24D24D56"/>
    <w:rsid w:val="24E0616D"/>
    <w:rsid w:val="24E2407F"/>
    <w:rsid w:val="24E32289"/>
    <w:rsid w:val="24ED1C1E"/>
    <w:rsid w:val="24F0284D"/>
    <w:rsid w:val="24F039A5"/>
    <w:rsid w:val="24F97491"/>
    <w:rsid w:val="250E20E4"/>
    <w:rsid w:val="25202C91"/>
    <w:rsid w:val="252331A5"/>
    <w:rsid w:val="252733A0"/>
    <w:rsid w:val="252A6107"/>
    <w:rsid w:val="253B3A36"/>
    <w:rsid w:val="253C4214"/>
    <w:rsid w:val="25425A19"/>
    <w:rsid w:val="25490B3E"/>
    <w:rsid w:val="25585952"/>
    <w:rsid w:val="25667D90"/>
    <w:rsid w:val="256E6C47"/>
    <w:rsid w:val="256F1A53"/>
    <w:rsid w:val="258B2F2B"/>
    <w:rsid w:val="258B31A0"/>
    <w:rsid w:val="25952D2E"/>
    <w:rsid w:val="25AB3D1C"/>
    <w:rsid w:val="25AC53DC"/>
    <w:rsid w:val="25C40884"/>
    <w:rsid w:val="25C73A07"/>
    <w:rsid w:val="25CB7FC0"/>
    <w:rsid w:val="25D30AA5"/>
    <w:rsid w:val="25D90A1B"/>
    <w:rsid w:val="25DC0129"/>
    <w:rsid w:val="25DF10AE"/>
    <w:rsid w:val="25DF4931"/>
    <w:rsid w:val="25E22192"/>
    <w:rsid w:val="25F332FF"/>
    <w:rsid w:val="25FE37D6"/>
    <w:rsid w:val="260E417C"/>
    <w:rsid w:val="26274BB6"/>
    <w:rsid w:val="26356536"/>
    <w:rsid w:val="264B61DF"/>
    <w:rsid w:val="266853CB"/>
    <w:rsid w:val="266F2B89"/>
    <w:rsid w:val="268B243A"/>
    <w:rsid w:val="26912919"/>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97547"/>
    <w:rsid w:val="26FB2F1B"/>
    <w:rsid w:val="27272F86"/>
    <w:rsid w:val="272D45D3"/>
    <w:rsid w:val="27310A5B"/>
    <w:rsid w:val="27310B9A"/>
    <w:rsid w:val="273E1C11"/>
    <w:rsid w:val="275265C3"/>
    <w:rsid w:val="276B112C"/>
    <w:rsid w:val="27815619"/>
    <w:rsid w:val="279E2679"/>
    <w:rsid w:val="279F554C"/>
    <w:rsid w:val="27C25618"/>
    <w:rsid w:val="27D65541"/>
    <w:rsid w:val="27E50C24"/>
    <w:rsid w:val="27EC5FCE"/>
    <w:rsid w:val="280F0449"/>
    <w:rsid w:val="28183270"/>
    <w:rsid w:val="281C0F13"/>
    <w:rsid w:val="281F24B4"/>
    <w:rsid w:val="285E7D99"/>
    <w:rsid w:val="286651CF"/>
    <w:rsid w:val="28671C46"/>
    <w:rsid w:val="28786555"/>
    <w:rsid w:val="2897657D"/>
    <w:rsid w:val="28AB19F4"/>
    <w:rsid w:val="28BD3A65"/>
    <w:rsid w:val="28BD5FE3"/>
    <w:rsid w:val="28D71E0B"/>
    <w:rsid w:val="28DC39BE"/>
    <w:rsid w:val="28DD5BCB"/>
    <w:rsid w:val="28E01F8A"/>
    <w:rsid w:val="28F045AC"/>
    <w:rsid w:val="290E63C8"/>
    <w:rsid w:val="291B318A"/>
    <w:rsid w:val="291D583E"/>
    <w:rsid w:val="293723B4"/>
    <w:rsid w:val="293A5EAD"/>
    <w:rsid w:val="294157AB"/>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1E4926"/>
    <w:rsid w:val="2A2D73EC"/>
    <w:rsid w:val="2A2E4CEB"/>
    <w:rsid w:val="2A3B565F"/>
    <w:rsid w:val="2A4A3088"/>
    <w:rsid w:val="2A532C05"/>
    <w:rsid w:val="2A5D0C96"/>
    <w:rsid w:val="2A653259"/>
    <w:rsid w:val="2A8F4841"/>
    <w:rsid w:val="2A9E3ECC"/>
    <w:rsid w:val="2AA270FE"/>
    <w:rsid w:val="2AA369DD"/>
    <w:rsid w:val="2AD06022"/>
    <w:rsid w:val="2AD63975"/>
    <w:rsid w:val="2ADD1B0D"/>
    <w:rsid w:val="2AEC47FC"/>
    <w:rsid w:val="2AF1331E"/>
    <w:rsid w:val="2AF46F08"/>
    <w:rsid w:val="2AF81BE3"/>
    <w:rsid w:val="2AFF23A5"/>
    <w:rsid w:val="2B176F87"/>
    <w:rsid w:val="2B3548BD"/>
    <w:rsid w:val="2B361003"/>
    <w:rsid w:val="2B3762A6"/>
    <w:rsid w:val="2B3C6641"/>
    <w:rsid w:val="2B4A27A4"/>
    <w:rsid w:val="2B5567FE"/>
    <w:rsid w:val="2B5B0F6E"/>
    <w:rsid w:val="2B792D84"/>
    <w:rsid w:val="2B925FDF"/>
    <w:rsid w:val="2B967502"/>
    <w:rsid w:val="2B9970F1"/>
    <w:rsid w:val="2BB74A47"/>
    <w:rsid w:val="2BE501C7"/>
    <w:rsid w:val="2BE57DB5"/>
    <w:rsid w:val="2BEA2DF9"/>
    <w:rsid w:val="2BEC2FB4"/>
    <w:rsid w:val="2BED2E55"/>
    <w:rsid w:val="2C1738CF"/>
    <w:rsid w:val="2C1945D8"/>
    <w:rsid w:val="2C297CFC"/>
    <w:rsid w:val="2C2C74D6"/>
    <w:rsid w:val="2C3E23A2"/>
    <w:rsid w:val="2C4E7E38"/>
    <w:rsid w:val="2C5113C3"/>
    <w:rsid w:val="2C6C7918"/>
    <w:rsid w:val="2C783906"/>
    <w:rsid w:val="2C900878"/>
    <w:rsid w:val="2C9E472D"/>
    <w:rsid w:val="2CB5787B"/>
    <w:rsid w:val="2CC43900"/>
    <w:rsid w:val="2CCA4381"/>
    <w:rsid w:val="2CD30F03"/>
    <w:rsid w:val="2CD66FAA"/>
    <w:rsid w:val="2CEA4162"/>
    <w:rsid w:val="2CF249BE"/>
    <w:rsid w:val="2CF710E3"/>
    <w:rsid w:val="2CFC1554"/>
    <w:rsid w:val="2CFF3512"/>
    <w:rsid w:val="2D0333E4"/>
    <w:rsid w:val="2D0B7148"/>
    <w:rsid w:val="2D17770B"/>
    <w:rsid w:val="2D354DCA"/>
    <w:rsid w:val="2D3E7D46"/>
    <w:rsid w:val="2D6D74B7"/>
    <w:rsid w:val="2D6E6943"/>
    <w:rsid w:val="2D7E4AF7"/>
    <w:rsid w:val="2D8404BB"/>
    <w:rsid w:val="2D8519AC"/>
    <w:rsid w:val="2D87777E"/>
    <w:rsid w:val="2D8E349F"/>
    <w:rsid w:val="2D9469E6"/>
    <w:rsid w:val="2D9D7A77"/>
    <w:rsid w:val="2DAA08E0"/>
    <w:rsid w:val="2DAF78FF"/>
    <w:rsid w:val="2DD93F77"/>
    <w:rsid w:val="2DDA3448"/>
    <w:rsid w:val="2DDC694B"/>
    <w:rsid w:val="2DDE7A41"/>
    <w:rsid w:val="2DEF20F0"/>
    <w:rsid w:val="2E041306"/>
    <w:rsid w:val="2E06778F"/>
    <w:rsid w:val="2E087703"/>
    <w:rsid w:val="2E106E4C"/>
    <w:rsid w:val="2E194231"/>
    <w:rsid w:val="2E4C211D"/>
    <w:rsid w:val="2E4D7F49"/>
    <w:rsid w:val="2E4E05E7"/>
    <w:rsid w:val="2E4E1129"/>
    <w:rsid w:val="2E5B5EA2"/>
    <w:rsid w:val="2E6446EB"/>
    <w:rsid w:val="2E697834"/>
    <w:rsid w:val="2E6B07B8"/>
    <w:rsid w:val="2E7F0E61"/>
    <w:rsid w:val="2E7F686F"/>
    <w:rsid w:val="2E870765"/>
    <w:rsid w:val="2E8753CE"/>
    <w:rsid w:val="2E8D0791"/>
    <w:rsid w:val="2E9B39A1"/>
    <w:rsid w:val="2EAA702B"/>
    <w:rsid w:val="2ECD1756"/>
    <w:rsid w:val="2EDD3F6F"/>
    <w:rsid w:val="2F047EE8"/>
    <w:rsid w:val="2F085C75"/>
    <w:rsid w:val="2F2B12A9"/>
    <w:rsid w:val="2F3606B5"/>
    <w:rsid w:val="2F3A210B"/>
    <w:rsid w:val="2F3C4BFB"/>
    <w:rsid w:val="2F471420"/>
    <w:rsid w:val="2F626907"/>
    <w:rsid w:val="2F6B4720"/>
    <w:rsid w:val="2F956224"/>
    <w:rsid w:val="2FA11189"/>
    <w:rsid w:val="2FA23A7C"/>
    <w:rsid w:val="2FA30525"/>
    <w:rsid w:val="2FA44159"/>
    <w:rsid w:val="2FAD2A35"/>
    <w:rsid w:val="2FB449B9"/>
    <w:rsid w:val="2FBC113D"/>
    <w:rsid w:val="2FC73BC7"/>
    <w:rsid w:val="2FD33F66"/>
    <w:rsid w:val="2FD408E0"/>
    <w:rsid w:val="2FE311E4"/>
    <w:rsid w:val="2FF608DC"/>
    <w:rsid w:val="2FF71222"/>
    <w:rsid w:val="2FFD3FAC"/>
    <w:rsid w:val="3004586C"/>
    <w:rsid w:val="300B6218"/>
    <w:rsid w:val="30160ACC"/>
    <w:rsid w:val="302651B2"/>
    <w:rsid w:val="3045081F"/>
    <w:rsid w:val="304A119D"/>
    <w:rsid w:val="305D69EA"/>
    <w:rsid w:val="306825DD"/>
    <w:rsid w:val="30834BF9"/>
    <w:rsid w:val="308974AE"/>
    <w:rsid w:val="30944718"/>
    <w:rsid w:val="30945B60"/>
    <w:rsid w:val="3096076B"/>
    <w:rsid w:val="30B07C44"/>
    <w:rsid w:val="30B978AD"/>
    <w:rsid w:val="30C01078"/>
    <w:rsid w:val="30CF0FD9"/>
    <w:rsid w:val="30CF5A24"/>
    <w:rsid w:val="30D20E0C"/>
    <w:rsid w:val="30E42C41"/>
    <w:rsid w:val="30F34FAE"/>
    <w:rsid w:val="312234DF"/>
    <w:rsid w:val="3133127A"/>
    <w:rsid w:val="31353CD7"/>
    <w:rsid w:val="313E620E"/>
    <w:rsid w:val="313E6CDE"/>
    <w:rsid w:val="313F3759"/>
    <w:rsid w:val="31416C5C"/>
    <w:rsid w:val="314E2D58"/>
    <w:rsid w:val="31727F68"/>
    <w:rsid w:val="317662E9"/>
    <w:rsid w:val="31907F15"/>
    <w:rsid w:val="31954796"/>
    <w:rsid w:val="31962DAE"/>
    <w:rsid w:val="319F0073"/>
    <w:rsid w:val="31B9498A"/>
    <w:rsid w:val="31C74937"/>
    <w:rsid w:val="31CB6BC1"/>
    <w:rsid w:val="31CE7B45"/>
    <w:rsid w:val="31DD48DC"/>
    <w:rsid w:val="31E60453"/>
    <w:rsid w:val="32044DED"/>
    <w:rsid w:val="320C562E"/>
    <w:rsid w:val="3215767E"/>
    <w:rsid w:val="322566A5"/>
    <w:rsid w:val="32327738"/>
    <w:rsid w:val="32331A68"/>
    <w:rsid w:val="323F70E3"/>
    <w:rsid w:val="32414601"/>
    <w:rsid w:val="324B22D2"/>
    <w:rsid w:val="32575E9A"/>
    <w:rsid w:val="325C3AF5"/>
    <w:rsid w:val="3262622A"/>
    <w:rsid w:val="327506A5"/>
    <w:rsid w:val="327A0FE8"/>
    <w:rsid w:val="329F684F"/>
    <w:rsid w:val="32B26B6D"/>
    <w:rsid w:val="32C92CF9"/>
    <w:rsid w:val="32CC0FF0"/>
    <w:rsid w:val="32DF7982"/>
    <w:rsid w:val="32E20907"/>
    <w:rsid w:val="32F96ACA"/>
    <w:rsid w:val="330258B3"/>
    <w:rsid w:val="33054642"/>
    <w:rsid w:val="330C7AAB"/>
    <w:rsid w:val="33106E3B"/>
    <w:rsid w:val="332F0A06"/>
    <w:rsid w:val="33301D0B"/>
    <w:rsid w:val="333E4968"/>
    <w:rsid w:val="336114D2"/>
    <w:rsid w:val="337E28B4"/>
    <w:rsid w:val="338A0241"/>
    <w:rsid w:val="33951969"/>
    <w:rsid w:val="339B5E01"/>
    <w:rsid w:val="33A23634"/>
    <w:rsid w:val="33A31D7A"/>
    <w:rsid w:val="33A6539B"/>
    <w:rsid w:val="33A84E4D"/>
    <w:rsid w:val="33D163EF"/>
    <w:rsid w:val="33D45DFD"/>
    <w:rsid w:val="33D74339"/>
    <w:rsid w:val="33E605A3"/>
    <w:rsid w:val="33E706E6"/>
    <w:rsid w:val="33F14703"/>
    <w:rsid w:val="33F7797D"/>
    <w:rsid w:val="3406027F"/>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7609F"/>
    <w:rsid w:val="350960B1"/>
    <w:rsid w:val="35150114"/>
    <w:rsid w:val="35217336"/>
    <w:rsid w:val="35290A77"/>
    <w:rsid w:val="352A0B4B"/>
    <w:rsid w:val="352F7D57"/>
    <w:rsid w:val="35356F10"/>
    <w:rsid w:val="35362DCA"/>
    <w:rsid w:val="354840CB"/>
    <w:rsid w:val="35564C7D"/>
    <w:rsid w:val="355C013C"/>
    <w:rsid w:val="35653EA9"/>
    <w:rsid w:val="3565420B"/>
    <w:rsid w:val="356A5BBA"/>
    <w:rsid w:val="356A601B"/>
    <w:rsid w:val="356E60EB"/>
    <w:rsid w:val="35825C91"/>
    <w:rsid w:val="35832189"/>
    <w:rsid w:val="3583595D"/>
    <w:rsid w:val="35841013"/>
    <w:rsid w:val="358B79C9"/>
    <w:rsid w:val="35934427"/>
    <w:rsid w:val="359A00B9"/>
    <w:rsid w:val="35AF56A8"/>
    <w:rsid w:val="35C72C49"/>
    <w:rsid w:val="35F73AA1"/>
    <w:rsid w:val="35F853BB"/>
    <w:rsid w:val="35FB1676"/>
    <w:rsid w:val="36052B94"/>
    <w:rsid w:val="36101CF6"/>
    <w:rsid w:val="361526DE"/>
    <w:rsid w:val="36225127"/>
    <w:rsid w:val="36237E20"/>
    <w:rsid w:val="362551E1"/>
    <w:rsid w:val="36286678"/>
    <w:rsid w:val="36371F41"/>
    <w:rsid w:val="363803C7"/>
    <w:rsid w:val="364D4D97"/>
    <w:rsid w:val="367620D2"/>
    <w:rsid w:val="3689139F"/>
    <w:rsid w:val="369608CE"/>
    <w:rsid w:val="369B2954"/>
    <w:rsid w:val="36A30297"/>
    <w:rsid w:val="36A77D38"/>
    <w:rsid w:val="36C1037B"/>
    <w:rsid w:val="36D067A6"/>
    <w:rsid w:val="36D4011D"/>
    <w:rsid w:val="36E865A3"/>
    <w:rsid w:val="37070D11"/>
    <w:rsid w:val="37201F64"/>
    <w:rsid w:val="373F53DD"/>
    <w:rsid w:val="374C04C6"/>
    <w:rsid w:val="375948AC"/>
    <w:rsid w:val="376B28D6"/>
    <w:rsid w:val="376C0D7B"/>
    <w:rsid w:val="376C5D00"/>
    <w:rsid w:val="376E276D"/>
    <w:rsid w:val="37A04E93"/>
    <w:rsid w:val="37AA5D9B"/>
    <w:rsid w:val="37C6420E"/>
    <w:rsid w:val="37D22ED3"/>
    <w:rsid w:val="37EA0A17"/>
    <w:rsid w:val="380A7603"/>
    <w:rsid w:val="380B0BB2"/>
    <w:rsid w:val="380D32F1"/>
    <w:rsid w:val="380D5D0D"/>
    <w:rsid w:val="38243947"/>
    <w:rsid w:val="38277161"/>
    <w:rsid w:val="382F1B72"/>
    <w:rsid w:val="382F2C1E"/>
    <w:rsid w:val="3871463E"/>
    <w:rsid w:val="38716CD9"/>
    <w:rsid w:val="38801C6C"/>
    <w:rsid w:val="38851608"/>
    <w:rsid w:val="38955725"/>
    <w:rsid w:val="389F2071"/>
    <w:rsid w:val="38A45712"/>
    <w:rsid w:val="38A47DD9"/>
    <w:rsid w:val="38B03BEB"/>
    <w:rsid w:val="38B04451"/>
    <w:rsid w:val="38CC35B4"/>
    <w:rsid w:val="38D10166"/>
    <w:rsid w:val="38F103FB"/>
    <w:rsid w:val="39207FD2"/>
    <w:rsid w:val="392E645D"/>
    <w:rsid w:val="3933207C"/>
    <w:rsid w:val="39341BE2"/>
    <w:rsid w:val="393947EE"/>
    <w:rsid w:val="394B37F2"/>
    <w:rsid w:val="394E0F10"/>
    <w:rsid w:val="39532C2F"/>
    <w:rsid w:val="39756BD2"/>
    <w:rsid w:val="39985F30"/>
    <w:rsid w:val="39AF23DC"/>
    <w:rsid w:val="39D3500A"/>
    <w:rsid w:val="39D620EE"/>
    <w:rsid w:val="39D96419"/>
    <w:rsid w:val="39E55169"/>
    <w:rsid w:val="39E84553"/>
    <w:rsid w:val="39F4018B"/>
    <w:rsid w:val="39F72E22"/>
    <w:rsid w:val="39FA16F9"/>
    <w:rsid w:val="3A094E52"/>
    <w:rsid w:val="3A174971"/>
    <w:rsid w:val="3A273045"/>
    <w:rsid w:val="3A351385"/>
    <w:rsid w:val="3A3E4729"/>
    <w:rsid w:val="3A675D63"/>
    <w:rsid w:val="3A7A647F"/>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366832"/>
    <w:rsid w:val="3B47510C"/>
    <w:rsid w:val="3B4C622A"/>
    <w:rsid w:val="3B634927"/>
    <w:rsid w:val="3B6C16EB"/>
    <w:rsid w:val="3B7F36AC"/>
    <w:rsid w:val="3B822235"/>
    <w:rsid w:val="3B861D2E"/>
    <w:rsid w:val="3B937808"/>
    <w:rsid w:val="3BC25680"/>
    <w:rsid w:val="3BC83BA3"/>
    <w:rsid w:val="3BD653F5"/>
    <w:rsid w:val="3BE16ECF"/>
    <w:rsid w:val="3BED0FCA"/>
    <w:rsid w:val="3BF9665A"/>
    <w:rsid w:val="3C112CD7"/>
    <w:rsid w:val="3C211965"/>
    <w:rsid w:val="3C226C56"/>
    <w:rsid w:val="3C4B0ED5"/>
    <w:rsid w:val="3C5B0C3E"/>
    <w:rsid w:val="3C5C4417"/>
    <w:rsid w:val="3C650224"/>
    <w:rsid w:val="3C6C2EB8"/>
    <w:rsid w:val="3C792216"/>
    <w:rsid w:val="3C8D17F0"/>
    <w:rsid w:val="3C911941"/>
    <w:rsid w:val="3CA91418"/>
    <w:rsid w:val="3CAD34C9"/>
    <w:rsid w:val="3CB15451"/>
    <w:rsid w:val="3CB8015D"/>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A6750A"/>
    <w:rsid w:val="3DB21166"/>
    <w:rsid w:val="3DB52FFB"/>
    <w:rsid w:val="3DB8539D"/>
    <w:rsid w:val="3DB932B8"/>
    <w:rsid w:val="3DCE5EF9"/>
    <w:rsid w:val="3DDF3C84"/>
    <w:rsid w:val="3DF17D30"/>
    <w:rsid w:val="3DF55B8D"/>
    <w:rsid w:val="3DF740D2"/>
    <w:rsid w:val="3E18436C"/>
    <w:rsid w:val="3E195A9F"/>
    <w:rsid w:val="3E2942BE"/>
    <w:rsid w:val="3E300439"/>
    <w:rsid w:val="3E320B89"/>
    <w:rsid w:val="3E3906BC"/>
    <w:rsid w:val="3E462526"/>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3725C6"/>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860450"/>
    <w:rsid w:val="40942502"/>
    <w:rsid w:val="40971DD6"/>
    <w:rsid w:val="40AA46A6"/>
    <w:rsid w:val="40B6211F"/>
    <w:rsid w:val="40C2573C"/>
    <w:rsid w:val="40D01BF9"/>
    <w:rsid w:val="40D34024"/>
    <w:rsid w:val="40D43BA0"/>
    <w:rsid w:val="40E241CE"/>
    <w:rsid w:val="40EA78D7"/>
    <w:rsid w:val="40EC35D0"/>
    <w:rsid w:val="40EC510F"/>
    <w:rsid w:val="40EF5D43"/>
    <w:rsid w:val="412912D7"/>
    <w:rsid w:val="41366B89"/>
    <w:rsid w:val="41554B41"/>
    <w:rsid w:val="41643D6B"/>
    <w:rsid w:val="417137CD"/>
    <w:rsid w:val="41771599"/>
    <w:rsid w:val="418E52EE"/>
    <w:rsid w:val="41A04E11"/>
    <w:rsid w:val="41CA6260"/>
    <w:rsid w:val="41DB0F0D"/>
    <w:rsid w:val="41F029FA"/>
    <w:rsid w:val="420558C2"/>
    <w:rsid w:val="42057B28"/>
    <w:rsid w:val="420874B4"/>
    <w:rsid w:val="420D0A6A"/>
    <w:rsid w:val="421052B2"/>
    <w:rsid w:val="42190CC2"/>
    <w:rsid w:val="422F31A8"/>
    <w:rsid w:val="422F36E3"/>
    <w:rsid w:val="42407C97"/>
    <w:rsid w:val="42491125"/>
    <w:rsid w:val="42685900"/>
    <w:rsid w:val="427A44C2"/>
    <w:rsid w:val="42880654"/>
    <w:rsid w:val="428D14EF"/>
    <w:rsid w:val="4296187E"/>
    <w:rsid w:val="429B2F25"/>
    <w:rsid w:val="429B4AA7"/>
    <w:rsid w:val="42A65AF0"/>
    <w:rsid w:val="42AD56C6"/>
    <w:rsid w:val="42C7120C"/>
    <w:rsid w:val="42CD0A84"/>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CF5AE2"/>
    <w:rsid w:val="43D122B4"/>
    <w:rsid w:val="43D65E39"/>
    <w:rsid w:val="43D6606E"/>
    <w:rsid w:val="43E63B73"/>
    <w:rsid w:val="43F01F04"/>
    <w:rsid w:val="43FE3B45"/>
    <w:rsid w:val="441111D7"/>
    <w:rsid w:val="44204C51"/>
    <w:rsid w:val="442D64E6"/>
    <w:rsid w:val="44366A11"/>
    <w:rsid w:val="443B3A4C"/>
    <w:rsid w:val="444B0AC4"/>
    <w:rsid w:val="444C64B0"/>
    <w:rsid w:val="444D54BA"/>
    <w:rsid w:val="44607171"/>
    <w:rsid w:val="44655746"/>
    <w:rsid w:val="447408F6"/>
    <w:rsid w:val="44742FDB"/>
    <w:rsid w:val="447636BF"/>
    <w:rsid w:val="447E086E"/>
    <w:rsid w:val="44951997"/>
    <w:rsid w:val="449D508C"/>
    <w:rsid w:val="44B15AF7"/>
    <w:rsid w:val="44B36E39"/>
    <w:rsid w:val="44BB57F3"/>
    <w:rsid w:val="44C83058"/>
    <w:rsid w:val="44D83825"/>
    <w:rsid w:val="44DC2E06"/>
    <w:rsid w:val="44EC7013"/>
    <w:rsid w:val="44F02519"/>
    <w:rsid w:val="44FB3AE3"/>
    <w:rsid w:val="44FF3C64"/>
    <w:rsid w:val="45061393"/>
    <w:rsid w:val="45166A26"/>
    <w:rsid w:val="45427AA4"/>
    <w:rsid w:val="45515DC5"/>
    <w:rsid w:val="455454A2"/>
    <w:rsid w:val="45564CA5"/>
    <w:rsid w:val="455B6233"/>
    <w:rsid w:val="456A6A48"/>
    <w:rsid w:val="457C3D14"/>
    <w:rsid w:val="45847827"/>
    <w:rsid w:val="45865E2C"/>
    <w:rsid w:val="45911A43"/>
    <w:rsid w:val="45A16423"/>
    <w:rsid w:val="45A24E61"/>
    <w:rsid w:val="45B457B5"/>
    <w:rsid w:val="45C63F33"/>
    <w:rsid w:val="45C849A3"/>
    <w:rsid w:val="45DA1DB7"/>
    <w:rsid w:val="45DE2657"/>
    <w:rsid w:val="45F10EC5"/>
    <w:rsid w:val="45FE10BA"/>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E43E05"/>
    <w:rsid w:val="46F03580"/>
    <w:rsid w:val="46F51A7F"/>
    <w:rsid w:val="47140188"/>
    <w:rsid w:val="4714637D"/>
    <w:rsid w:val="4718310F"/>
    <w:rsid w:val="472033C0"/>
    <w:rsid w:val="47280D0D"/>
    <w:rsid w:val="47424AC3"/>
    <w:rsid w:val="47444019"/>
    <w:rsid w:val="47581629"/>
    <w:rsid w:val="475D30AC"/>
    <w:rsid w:val="476B7898"/>
    <w:rsid w:val="47700B34"/>
    <w:rsid w:val="477A6B40"/>
    <w:rsid w:val="47974276"/>
    <w:rsid w:val="479C078C"/>
    <w:rsid w:val="47B32E9C"/>
    <w:rsid w:val="47B91B7D"/>
    <w:rsid w:val="47B922BA"/>
    <w:rsid w:val="47CB21D4"/>
    <w:rsid w:val="47ED7291"/>
    <w:rsid w:val="47F3564B"/>
    <w:rsid w:val="47F46C1C"/>
    <w:rsid w:val="47FE7658"/>
    <w:rsid w:val="48072039"/>
    <w:rsid w:val="480B19F6"/>
    <w:rsid w:val="480E7E09"/>
    <w:rsid w:val="481D675B"/>
    <w:rsid w:val="482109E5"/>
    <w:rsid w:val="48212AE9"/>
    <w:rsid w:val="48281A14"/>
    <w:rsid w:val="484D05AF"/>
    <w:rsid w:val="48547F3A"/>
    <w:rsid w:val="48580B3F"/>
    <w:rsid w:val="4860088B"/>
    <w:rsid w:val="486266B3"/>
    <w:rsid w:val="486C4CE7"/>
    <w:rsid w:val="487216E8"/>
    <w:rsid w:val="487F72A6"/>
    <w:rsid w:val="488536D4"/>
    <w:rsid w:val="489362BA"/>
    <w:rsid w:val="489713C3"/>
    <w:rsid w:val="48A262B1"/>
    <w:rsid w:val="48A61EC2"/>
    <w:rsid w:val="48BA3284"/>
    <w:rsid w:val="48CB1CC0"/>
    <w:rsid w:val="48DB71B2"/>
    <w:rsid w:val="48E0782A"/>
    <w:rsid w:val="48E66D59"/>
    <w:rsid w:val="49013C23"/>
    <w:rsid w:val="490A37AF"/>
    <w:rsid w:val="490A52ED"/>
    <w:rsid w:val="490C3583"/>
    <w:rsid w:val="49163580"/>
    <w:rsid w:val="491E6E1E"/>
    <w:rsid w:val="491F7F64"/>
    <w:rsid w:val="492A1BD4"/>
    <w:rsid w:val="49582843"/>
    <w:rsid w:val="49733467"/>
    <w:rsid w:val="49A418F2"/>
    <w:rsid w:val="49AB26EA"/>
    <w:rsid w:val="49AD5BED"/>
    <w:rsid w:val="49BE170B"/>
    <w:rsid w:val="49C8100A"/>
    <w:rsid w:val="49FD4166"/>
    <w:rsid w:val="49FF2037"/>
    <w:rsid w:val="4A0A7F62"/>
    <w:rsid w:val="4A1D00AC"/>
    <w:rsid w:val="4A270A04"/>
    <w:rsid w:val="4A36625B"/>
    <w:rsid w:val="4A3B71DB"/>
    <w:rsid w:val="4A414188"/>
    <w:rsid w:val="4A47591B"/>
    <w:rsid w:val="4A4C4C82"/>
    <w:rsid w:val="4A6F608D"/>
    <w:rsid w:val="4A767F31"/>
    <w:rsid w:val="4A885CE1"/>
    <w:rsid w:val="4A9452E5"/>
    <w:rsid w:val="4A9F2D3A"/>
    <w:rsid w:val="4ABA66FB"/>
    <w:rsid w:val="4ABE4F66"/>
    <w:rsid w:val="4ABF0894"/>
    <w:rsid w:val="4AC76EC6"/>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562725"/>
    <w:rsid w:val="4B693CDC"/>
    <w:rsid w:val="4B6F57B6"/>
    <w:rsid w:val="4BA73A3D"/>
    <w:rsid w:val="4BB31E0A"/>
    <w:rsid w:val="4BC60804"/>
    <w:rsid w:val="4BC74E08"/>
    <w:rsid w:val="4BCF4885"/>
    <w:rsid w:val="4BD07997"/>
    <w:rsid w:val="4BDF3E16"/>
    <w:rsid w:val="4BF722AF"/>
    <w:rsid w:val="4BFA3233"/>
    <w:rsid w:val="4C1003D8"/>
    <w:rsid w:val="4C1705E5"/>
    <w:rsid w:val="4C203473"/>
    <w:rsid w:val="4C2F2351"/>
    <w:rsid w:val="4C352DA8"/>
    <w:rsid w:val="4C366477"/>
    <w:rsid w:val="4C376F62"/>
    <w:rsid w:val="4C381F65"/>
    <w:rsid w:val="4C6E6BF7"/>
    <w:rsid w:val="4C6F66E5"/>
    <w:rsid w:val="4C786851"/>
    <w:rsid w:val="4C942881"/>
    <w:rsid w:val="4CA966A6"/>
    <w:rsid w:val="4CAE507C"/>
    <w:rsid w:val="4CAF266F"/>
    <w:rsid w:val="4CB229E2"/>
    <w:rsid w:val="4CC13ECD"/>
    <w:rsid w:val="4CD020F9"/>
    <w:rsid w:val="4CD828C2"/>
    <w:rsid w:val="4D0B17EF"/>
    <w:rsid w:val="4D0E4802"/>
    <w:rsid w:val="4D2F7723"/>
    <w:rsid w:val="4D341EFD"/>
    <w:rsid w:val="4D406BD1"/>
    <w:rsid w:val="4D5047B5"/>
    <w:rsid w:val="4D576F61"/>
    <w:rsid w:val="4D5C53F9"/>
    <w:rsid w:val="4D5F3D23"/>
    <w:rsid w:val="4D605A45"/>
    <w:rsid w:val="4D76573F"/>
    <w:rsid w:val="4D7E6C33"/>
    <w:rsid w:val="4D831E51"/>
    <w:rsid w:val="4D942472"/>
    <w:rsid w:val="4DA44E4F"/>
    <w:rsid w:val="4DAA4C62"/>
    <w:rsid w:val="4DAD5FAE"/>
    <w:rsid w:val="4DC275EA"/>
    <w:rsid w:val="4DCE74AD"/>
    <w:rsid w:val="4DD827C4"/>
    <w:rsid w:val="4DDD0570"/>
    <w:rsid w:val="4DF521AC"/>
    <w:rsid w:val="4E0A2800"/>
    <w:rsid w:val="4E0D58C8"/>
    <w:rsid w:val="4E154828"/>
    <w:rsid w:val="4E222649"/>
    <w:rsid w:val="4E244D2D"/>
    <w:rsid w:val="4E5079C5"/>
    <w:rsid w:val="4E5C1FD5"/>
    <w:rsid w:val="4E623BD3"/>
    <w:rsid w:val="4E7906E7"/>
    <w:rsid w:val="4E837C45"/>
    <w:rsid w:val="4E9108A9"/>
    <w:rsid w:val="4E993495"/>
    <w:rsid w:val="4E9B0304"/>
    <w:rsid w:val="4EA30D9D"/>
    <w:rsid w:val="4EA31AE4"/>
    <w:rsid w:val="4EB2058C"/>
    <w:rsid w:val="4EB60C48"/>
    <w:rsid w:val="4EDE147E"/>
    <w:rsid w:val="4EEA3967"/>
    <w:rsid w:val="4EEF1B44"/>
    <w:rsid w:val="4F012635"/>
    <w:rsid w:val="4F0A27C3"/>
    <w:rsid w:val="4F0F005F"/>
    <w:rsid w:val="4F165D52"/>
    <w:rsid w:val="4F190BD2"/>
    <w:rsid w:val="4F1D369F"/>
    <w:rsid w:val="4F213A90"/>
    <w:rsid w:val="4F290247"/>
    <w:rsid w:val="4F323CD2"/>
    <w:rsid w:val="4F332C0A"/>
    <w:rsid w:val="4F383685"/>
    <w:rsid w:val="4F433DC8"/>
    <w:rsid w:val="4F4510BC"/>
    <w:rsid w:val="4F4B51A5"/>
    <w:rsid w:val="4F545D86"/>
    <w:rsid w:val="4F5F1347"/>
    <w:rsid w:val="4F896D46"/>
    <w:rsid w:val="4F974D24"/>
    <w:rsid w:val="4FA03E0F"/>
    <w:rsid w:val="4FA14EEC"/>
    <w:rsid w:val="4FA84227"/>
    <w:rsid w:val="4FB73F54"/>
    <w:rsid w:val="4FC231DA"/>
    <w:rsid w:val="4FE223EE"/>
    <w:rsid w:val="4FE3097A"/>
    <w:rsid w:val="4FFD3A77"/>
    <w:rsid w:val="501F59A7"/>
    <w:rsid w:val="503642D7"/>
    <w:rsid w:val="503D3F59"/>
    <w:rsid w:val="504C7CCA"/>
    <w:rsid w:val="5063027C"/>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4491"/>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1FB199F"/>
    <w:rsid w:val="520A22AE"/>
    <w:rsid w:val="521974CD"/>
    <w:rsid w:val="522143CD"/>
    <w:rsid w:val="52247A0F"/>
    <w:rsid w:val="522A0742"/>
    <w:rsid w:val="52385792"/>
    <w:rsid w:val="523D42DD"/>
    <w:rsid w:val="523F6AFF"/>
    <w:rsid w:val="524B2DC8"/>
    <w:rsid w:val="524F31BF"/>
    <w:rsid w:val="52514A0D"/>
    <w:rsid w:val="525748A7"/>
    <w:rsid w:val="5271569A"/>
    <w:rsid w:val="5273265C"/>
    <w:rsid w:val="527B5D61"/>
    <w:rsid w:val="52853336"/>
    <w:rsid w:val="52881D50"/>
    <w:rsid w:val="52991222"/>
    <w:rsid w:val="529B3EC4"/>
    <w:rsid w:val="529C6295"/>
    <w:rsid w:val="529C7876"/>
    <w:rsid w:val="52B0368A"/>
    <w:rsid w:val="52BC72D9"/>
    <w:rsid w:val="52DB19FD"/>
    <w:rsid w:val="52EE339D"/>
    <w:rsid w:val="530174D7"/>
    <w:rsid w:val="5306292A"/>
    <w:rsid w:val="530822C8"/>
    <w:rsid w:val="53180FAF"/>
    <w:rsid w:val="53317508"/>
    <w:rsid w:val="533B6910"/>
    <w:rsid w:val="533E1E81"/>
    <w:rsid w:val="53445C3B"/>
    <w:rsid w:val="534B7333"/>
    <w:rsid w:val="535B246C"/>
    <w:rsid w:val="536C234B"/>
    <w:rsid w:val="536F3F83"/>
    <w:rsid w:val="53703E8D"/>
    <w:rsid w:val="53707DDE"/>
    <w:rsid w:val="537E0058"/>
    <w:rsid w:val="53943296"/>
    <w:rsid w:val="53950AA6"/>
    <w:rsid w:val="53955656"/>
    <w:rsid w:val="539605FB"/>
    <w:rsid w:val="53A909D1"/>
    <w:rsid w:val="53B2385F"/>
    <w:rsid w:val="53C057E0"/>
    <w:rsid w:val="53C15DE9"/>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F77E0"/>
    <w:rsid w:val="54270E2A"/>
    <w:rsid w:val="543E515D"/>
    <w:rsid w:val="543F413B"/>
    <w:rsid w:val="5443534C"/>
    <w:rsid w:val="544B0D54"/>
    <w:rsid w:val="545114AC"/>
    <w:rsid w:val="54591CDE"/>
    <w:rsid w:val="545952F2"/>
    <w:rsid w:val="54625354"/>
    <w:rsid w:val="5469558C"/>
    <w:rsid w:val="54984A43"/>
    <w:rsid w:val="54B61E08"/>
    <w:rsid w:val="54BE461D"/>
    <w:rsid w:val="54C557E7"/>
    <w:rsid w:val="54C65EC0"/>
    <w:rsid w:val="54D43100"/>
    <w:rsid w:val="552760F6"/>
    <w:rsid w:val="552A09F4"/>
    <w:rsid w:val="5532296D"/>
    <w:rsid w:val="55452810"/>
    <w:rsid w:val="555154EE"/>
    <w:rsid w:val="558F4A1E"/>
    <w:rsid w:val="55942252"/>
    <w:rsid w:val="55987FBD"/>
    <w:rsid w:val="55B41C64"/>
    <w:rsid w:val="55C57C53"/>
    <w:rsid w:val="55E34DF9"/>
    <w:rsid w:val="55EC2897"/>
    <w:rsid w:val="55F0187C"/>
    <w:rsid w:val="55FA242D"/>
    <w:rsid w:val="5630640C"/>
    <w:rsid w:val="564B32E4"/>
    <w:rsid w:val="5652511E"/>
    <w:rsid w:val="5652573E"/>
    <w:rsid w:val="565259A5"/>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6FE31A5"/>
    <w:rsid w:val="57065F83"/>
    <w:rsid w:val="57097BE4"/>
    <w:rsid w:val="570B6550"/>
    <w:rsid w:val="570E1847"/>
    <w:rsid w:val="57196157"/>
    <w:rsid w:val="573434A1"/>
    <w:rsid w:val="57460250"/>
    <w:rsid w:val="57484C26"/>
    <w:rsid w:val="5758628A"/>
    <w:rsid w:val="57745BB6"/>
    <w:rsid w:val="57855787"/>
    <w:rsid w:val="578A1BF3"/>
    <w:rsid w:val="57B02739"/>
    <w:rsid w:val="57B439EF"/>
    <w:rsid w:val="57BD6C04"/>
    <w:rsid w:val="57C51573"/>
    <w:rsid w:val="57D6036B"/>
    <w:rsid w:val="57DE28CC"/>
    <w:rsid w:val="57DF5B52"/>
    <w:rsid w:val="57FF606E"/>
    <w:rsid w:val="580032F4"/>
    <w:rsid w:val="580716CC"/>
    <w:rsid w:val="58220A26"/>
    <w:rsid w:val="58302FD6"/>
    <w:rsid w:val="58381DBD"/>
    <w:rsid w:val="58382405"/>
    <w:rsid w:val="58394C38"/>
    <w:rsid w:val="58423CCA"/>
    <w:rsid w:val="58432BD9"/>
    <w:rsid w:val="584B7C06"/>
    <w:rsid w:val="58510290"/>
    <w:rsid w:val="58553578"/>
    <w:rsid w:val="58553705"/>
    <w:rsid w:val="5855370B"/>
    <w:rsid w:val="58570D1A"/>
    <w:rsid w:val="58590F71"/>
    <w:rsid w:val="58593D0B"/>
    <w:rsid w:val="58784669"/>
    <w:rsid w:val="58A80E04"/>
    <w:rsid w:val="58B31DD9"/>
    <w:rsid w:val="58B91125"/>
    <w:rsid w:val="58BE2FA8"/>
    <w:rsid w:val="58C52932"/>
    <w:rsid w:val="58C64CF3"/>
    <w:rsid w:val="58CB3B78"/>
    <w:rsid w:val="58D21B64"/>
    <w:rsid w:val="58E52E67"/>
    <w:rsid w:val="590D2328"/>
    <w:rsid w:val="590F51DD"/>
    <w:rsid w:val="591E2294"/>
    <w:rsid w:val="59232C0B"/>
    <w:rsid w:val="593A62F9"/>
    <w:rsid w:val="59421BB2"/>
    <w:rsid w:val="594B4FD2"/>
    <w:rsid w:val="594D06B7"/>
    <w:rsid w:val="595C599F"/>
    <w:rsid w:val="597A115C"/>
    <w:rsid w:val="598A5B73"/>
    <w:rsid w:val="598D03EC"/>
    <w:rsid w:val="598D6E21"/>
    <w:rsid w:val="598D7696"/>
    <w:rsid w:val="59901ABC"/>
    <w:rsid w:val="599C0038"/>
    <w:rsid w:val="599F6487"/>
    <w:rsid w:val="59AC73AD"/>
    <w:rsid w:val="59B04427"/>
    <w:rsid w:val="59B377F3"/>
    <w:rsid w:val="59B6573E"/>
    <w:rsid w:val="59C43D4D"/>
    <w:rsid w:val="59C83A39"/>
    <w:rsid w:val="59D26531"/>
    <w:rsid w:val="59FB18DA"/>
    <w:rsid w:val="5A160FDB"/>
    <w:rsid w:val="5A261DCD"/>
    <w:rsid w:val="5A361544"/>
    <w:rsid w:val="5A3F108A"/>
    <w:rsid w:val="5A491507"/>
    <w:rsid w:val="5A5B363C"/>
    <w:rsid w:val="5A6D76C0"/>
    <w:rsid w:val="5A723A0D"/>
    <w:rsid w:val="5A762255"/>
    <w:rsid w:val="5A833B0D"/>
    <w:rsid w:val="5A9D621A"/>
    <w:rsid w:val="5AB17106"/>
    <w:rsid w:val="5AB864BE"/>
    <w:rsid w:val="5AC219D6"/>
    <w:rsid w:val="5AC77AAC"/>
    <w:rsid w:val="5AC94301"/>
    <w:rsid w:val="5ACF40CD"/>
    <w:rsid w:val="5AE67733"/>
    <w:rsid w:val="5AF57B23"/>
    <w:rsid w:val="5AFD3B96"/>
    <w:rsid w:val="5B0C640C"/>
    <w:rsid w:val="5B1142F4"/>
    <w:rsid w:val="5B170C5D"/>
    <w:rsid w:val="5B2D1B7A"/>
    <w:rsid w:val="5B2D305D"/>
    <w:rsid w:val="5B443E9C"/>
    <w:rsid w:val="5B4C1057"/>
    <w:rsid w:val="5B53327E"/>
    <w:rsid w:val="5B60602F"/>
    <w:rsid w:val="5B707739"/>
    <w:rsid w:val="5B7D7957"/>
    <w:rsid w:val="5B830BC2"/>
    <w:rsid w:val="5B8A7735"/>
    <w:rsid w:val="5B956906"/>
    <w:rsid w:val="5B987E52"/>
    <w:rsid w:val="5BAB48F4"/>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620B98"/>
    <w:rsid w:val="5C7F58F3"/>
    <w:rsid w:val="5C80234E"/>
    <w:rsid w:val="5C852810"/>
    <w:rsid w:val="5C9C5AD9"/>
    <w:rsid w:val="5C9F3478"/>
    <w:rsid w:val="5CB141A2"/>
    <w:rsid w:val="5CB85D2B"/>
    <w:rsid w:val="5CC83DC7"/>
    <w:rsid w:val="5CD7479C"/>
    <w:rsid w:val="5CE536CF"/>
    <w:rsid w:val="5CE568F8"/>
    <w:rsid w:val="5CF33064"/>
    <w:rsid w:val="5D013D09"/>
    <w:rsid w:val="5D0536BD"/>
    <w:rsid w:val="5D0576C4"/>
    <w:rsid w:val="5D203E5D"/>
    <w:rsid w:val="5D230368"/>
    <w:rsid w:val="5D255730"/>
    <w:rsid w:val="5D364081"/>
    <w:rsid w:val="5D424AC5"/>
    <w:rsid w:val="5D5667E0"/>
    <w:rsid w:val="5D580881"/>
    <w:rsid w:val="5D6261CB"/>
    <w:rsid w:val="5D6974FD"/>
    <w:rsid w:val="5DA13534"/>
    <w:rsid w:val="5DC9382F"/>
    <w:rsid w:val="5DCB56EC"/>
    <w:rsid w:val="5DD14279"/>
    <w:rsid w:val="5DE05A00"/>
    <w:rsid w:val="5DE448D2"/>
    <w:rsid w:val="5DF441FF"/>
    <w:rsid w:val="5DF474C9"/>
    <w:rsid w:val="5E057AF6"/>
    <w:rsid w:val="5E1463C6"/>
    <w:rsid w:val="5E285722"/>
    <w:rsid w:val="5E3B4D31"/>
    <w:rsid w:val="5E3E65D1"/>
    <w:rsid w:val="5E4B7A1D"/>
    <w:rsid w:val="5E4D4830"/>
    <w:rsid w:val="5E4E1644"/>
    <w:rsid w:val="5E50050F"/>
    <w:rsid w:val="5E5D04EF"/>
    <w:rsid w:val="5E5D47D5"/>
    <w:rsid w:val="5E68591D"/>
    <w:rsid w:val="5E6F4AE3"/>
    <w:rsid w:val="5E731D18"/>
    <w:rsid w:val="5E736001"/>
    <w:rsid w:val="5E742249"/>
    <w:rsid w:val="5E767F71"/>
    <w:rsid w:val="5E986D1D"/>
    <w:rsid w:val="5E9E597C"/>
    <w:rsid w:val="5EA97C8F"/>
    <w:rsid w:val="5EBA6970"/>
    <w:rsid w:val="5EC4125E"/>
    <w:rsid w:val="5EE11EB8"/>
    <w:rsid w:val="5F0936DE"/>
    <w:rsid w:val="5F1564DA"/>
    <w:rsid w:val="5F171517"/>
    <w:rsid w:val="5F250070"/>
    <w:rsid w:val="5F3209BE"/>
    <w:rsid w:val="5F5B6A83"/>
    <w:rsid w:val="5F62295E"/>
    <w:rsid w:val="5F7D16C2"/>
    <w:rsid w:val="5F892553"/>
    <w:rsid w:val="5FAB77AE"/>
    <w:rsid w:val="5FB301BB"/>
    <w:rsid w:val="5FD04B62"/>
    <w:rsid w:val="5FD144A5"/>
    <w:rsid w:val="5FF97102"/>
    <w:rsid w:val="5FFA6139"/>
    <w:rsid w:val="5FFB5E88"/>
    <w:rsid w:val="600A6271"/>
    <w:rsid w:val="601101FB"/>
    <w:rsid w:val="60357E4D"/>
    <w:rsid w:val="6046706E"/>
    <w:rsid w:val="60492B3E"/>
    <w:rsid w:val="6053275F"/>
    <w:rsid w:val="60565E64"/>
    <w:rsid w:val="605D4C28"/>
    <w:rsid w:val="605E55CF"/>
    <w:rsid w:val="606A06BA"/>
    <w:rsid w:val="606F2DD9"/>
    <w:rsid w:val="60747DCE"/>
    <w:rsid w:val="6089047C"/>
    <w:rsid w:val="608D4CE3"/>
    <w:rsid w:val="60A859A2"/>
    <w:rsid w:val="60AB29AA"/>
    <w:rsid w:val="60AC67BD"/>
    <w:rsid w:val="60AD2B1B"/>
    <w:rsid w:val="60AE372D"/>
    <w:rsid w:val="60C06489"/>
    <w:rsid w:val="60CD295D"/>
    <w:rsid w:val="60CE2A0E"/>
    <w:rsid w:val="60E06A5A"/>
    <w:rsid w:val="61096ED4"/>
    <w:rsid w:val="611C1063"/>
    <w:rsid w:val="61204933"/>
    <w:rsid w:val="612354B4"/>
    <w:rsid w:val="61351A56"/>
    <w:rsid w:val="613F62A8"/>
    <w:rsid w:val="61415F87"/>
    <w:rsid w:val="61561800"/>
    <w:rsid w:val="615A223E"/>
    <w:rsid w:val="615A4676"/>
    <w:rsid w:val="615B47A6"/>
    <w:rsid w:val="616435A6"/>
    <w:rsid w:val="61830F3C"/>
    <w:rsid w:val="619940E6"/>
    <w:rsid w:val="61A6014E"/>
    <w:rsid w:val="61B3236A"/>
    <w:rsid w:val="61D63921"/>
    <w:rsid w:val="61DB724C"/>
    <w:rsid w:val="61EE1B3B"/>
    <w:rsid w:val="61F439C5"/>
    <w:rsid w:val="61F443E9"/>
    <w:rsid w:val="620444AC"/>
    <w:rsid w:val="62086520"/>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BF666C"/>
    <w:rsid w:val="62C73A65"/>
    <w:rsid w:val="62C7491F"/>
    <w:rsid w:val="62C906B0"/>
    <w:rsid w:val="62CD0ED6"/>
    <w:rsid w:val="62D50998"/>
    <w:rsid w:val="62D8753A"/>
    <w:rsid w:val="62E7507D"/>
    <w:rsid w:val="62F67597"/>
    <w:rsid w:val="630C0C8E"/>
    <w:rsid w:val="630C34D0"/>
    <w:rsid w:val="631E48B7"/>
    <w:rsid w:val="6322080B"/>
    <w:rsid w:val="635F6BBD"/>
    <w:rsid w:val="63785DBF"/>
    <w:rsid w:val="63823BA9"/>
    <w:rsid w:val="638F7AFC"/>
    <w:rsid w:val="639215D8"/>
    <w:rsid w:val="63A36BE5"/>
    <w:rsid w:val="63B2141C"/>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C6B67"/>
    <w:rsid w:val="64335EB1"/>
    <w:rsid w:val="643937B4"/>
    <w:rsid w:val="64433CD0"/>
    <w:rsid w:val="64495F72"/>
    <w:rsid w:val="644B25BC"/>
    <w:rsid w:val="645D7798"/>
    <w:rsid w:val="647F6D16"/>
    <w:rsid w:val="6498217B"/>
    <w:rsid w:val="64987FF4"/>
    <w:rsid w:val="649F0E63"/>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034C4"/>
    <w:rsid w:val="65732FC9"/>
    <w:rsid w:val="65A240BE"/>
    <w:rsid w:val="65A273A9"/>
    <w:rsid w:val="65AE5114"/>
    <w:rsid w:val="65AE59DE"/>
    <w:rsid w:val="65B22C79"/>
    <w:rsid w:val="65B60634"/>
    <w:rsid w:val="65B61DD9"/>
    <w:rsid w:val="65BB5075"/>
    <w:rsid w:val="65BC102A"/>
    <w:rsid w:val="65C76D0B"/>
    <w:rsid w:val="65CB5A52"/>
    <w:rsid w:val="65D23BC4"/>
    <w:rsid w:val="65F03F0E"/>
    <w:rsid w:val="65F736BF"/>
    <w:rsid w:val="660B76A8"/>
    <w:rsid w:val="662861DC"/>
    <w:rsid w:val="66286B79"/>
    <w:rsid w:val="66306F43"/>
    <w:rsid w:val="66326E97"/>
    <w:rsid w:val="663F4723"/>
    <w:rsid w:val="664615E7"/>
    <w:rsid w:val="665265F4"/>
    <w:rsid w:val="665D487D"/>
    <w:rsid w:val="668A0DFC"/>
    <w:rsid w:val="66943E18"/>
    <w:rsid w:val="6699652A"/>
    <w:rsid w:val="66A562F6"/>
    <w:rsid w:val="66A93110"/>
    <w:rsid w:val="66AC664F"/>
    <w:rsid w:val="66AF2B2C"/>
    <w:rsid w:val="66C83F2C"/>
    <w:rsid w:val="66EB1F18"/>
    <w:rsid w:val="66F0190D"/>
    <w:rsid w:val="67064E16"/>
    <w:rsid w:val="672833FF"/>
    <w:rsid w:val="673832E7"/>
    <w:rsid w:val="67447CAA"/>
    <w:rsid w:val="67476124"/>
    <w:rsid w:val="675D734C"/>
    <w:rsid w:val="67603184"/>
    <w:rsid w:val="676569B0"/>
    <w:rsid w:val="67662B31"/>
    <w:rsid w:val="67681005"/>
    <w:rsid w:val="67690407"/>
    <w:rsid w:val="676E53AF"/>
    <w:rsid w:val="6772565E"/>
    <w:rsid w:val="677C3451"/>
    <w:rsid w:val="67905BA9"/>
    <w:rsid w:val="679C72E6"/>
    <w:rsid w:val="679D7D9D"/>
    <w:rsid w:val="679E1AB6"/>
    <w:rsid w:val="67A16316"/>
    <w:rsid w:val="67B52945"/>
    <w:rsid w:val="67B84A87"/>
    <w:rsid w:val="67D5396B"/>
    <w:rsid w:val="67E24A58"/>
    <w:rsid w:val="67E967D4"/>
    <w:rsid w:val="67EA1DE2"/>
    <w:rsid w:val="67F51F5D"/>
    <w:rsid w:val="67FB68A8"/>
    <w:rsid w:val="680A3D59"/>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2527C"/>
    <w:rsid w:val="68A512BF"/>
    <w:rsid w:val="68AB1911"/>
    <w:rsid w:val="68AB7066"/>
    <w:rsid w:val="68AC7864"/>
    <w:rsid w:val="68AE0590"/>
    <w:rsid w:val="68BD141F"/>
    <w:rsid w:val="68C2312F"/>
    <w:rsid w:val="68CC74D0"/>
    <w:rsid w:val="68DD058C"/>
    <w:rsid w:val="68E84B74"/>
    <w:rsid w:val="68FE4D8A"/>
    <w:rsid w:val="690300E6"/>
    <w:rsid w:val="691A7A58"/>
    <w:rsid w:val="691E3A53"/>
    <w:rsid w:val="691F004A"/>
    <w:rsid w:val="692563EE"/>
    <w:rsid w:val="692D6BB4"/>
    <w:rsid w:val="69456602"/>
    <w:rsid w:val="6965727E"/>
    <w:rsid w:val="69785369"/>
    <w:rsid w:val="69842EAC"/>
    <w:rsid w:val="69BF388B"/>
    <w:rsid w:val="69C101AD"/>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775E8A"/>
    <w:rsid w:val="6A8213EE"/>
    <w:rsid w:val="6A9553FE"/>
    <w:rsid w:val="6A9F48FD"/>
    <w:rsid w:val="6AC02AEF"/>
    <w:rsid w:val="6AC07030"/>
    <w:rsid w:val="6AC30E38"/>
    <w:rsid w:val="6ACB6656"/>
    <w:rsid w:val="6AD0268E"/>
    <w:rsid w:val="6ADB66AC"/>
    <w:rsid w:val="6ADD74FD"/>
    <w:rsid w:val="6AF15601"/>
    <w:rsid w:val="6AF66C96"/>
    <w:rsid w:val="6B3816B9"/>
    <w:rsid w:val="6B457289"/>
    <w:rsid w:val="6B4736DA"/>
    <w:rsid w:val="6B4F341C"/>
    <w:rsid w:val="6B570F9E"/>
    <w:rsid w:val="6B613AB3"/>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B602B"/>
    <w:rsid w:val="6C3E480C"/>
    <w:rsid w:val="6C4A348A"/>
    <w:rsid w:val="6C4A4478"/>
    <w:rsid w:val="6C4E35E5"/>
    <w:rsid w:val="6C5002D5"/>
    <w:rsid w:val="6C516105"/>
    <w:rsid w:val="6C69343B"/>
    <w:rsid w:val="6C737CFB"/>
    <w:rsid w:val="6C777224"/>
    <w:rsid w:val="6C784906"/>
    <w:rsid w:val="6C83219C"/>
    <w:rsid w:val="6C833B41"/>
    <w:rsid w:val="6C9803A4"/>
    <w:rsid w:val="6CA405A4"/>
    <w:rsid w:val="6CD323B8"/>
    <w:rsid w:val="6CE66AF9"/>
    <w:rsid w:val="6CF33107"/>
    <w:rsid w:val="6D243939"/>
    <w:rsid w:val="6D2F5EB0"/>
    <w:rsid w:val="6D3125B4"/>
    <w:rsid w:val="6D447778"/>
    <w:rsid w:val="6D4A5F2F"/>
    <w:rsid w:val="6D5F7732"/>
    <w:rsid w:val="6D620170"/>
    <w:rsid w:val="6D74531F"/>
    <w:rsid w:val="6D777E6B"/>
    <w:rsid w:val="6D84645E"/>
    <w:rsid w:val="6D8F437E"/>
    <w:rsid w:val="6D990245"/>
    <w:rsid w:val="6D997573"/>
    <w:rsid w:val="6D9D000B"/>
    <w:rsid w:val="6DA026C8"/>
    <w:rsid w:val="6DA02E41"/>
    <w:rsid w:val="6DAB04EE"/>
    <w:rsid w:val="6DAC5479"/>
    <w:rsid w:val="6DB46943"/>
    <w:rsid w:val="6DC42971"/>
    <w:rsid w:val="6DC62455"/>
    <w:rsid w:val="6DE4394A"/>
    <w:rsid w:val="6DED7696"/>
    <w:rsid w:val="6DF60C91"/>
    <w:rsid w:val="6DF674A2"/>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EF31424"/>
    <w:rsid w:val="6F0472BB"/>
    <w:rsid w:val="6F131D6E"/>
    <w:rsid w:val="6F1B6955"/>
    <w:rsid w:val="6F200617"/>
    <w:rsid w:val="6F206808"/>
    <w:rsid w:val="6F233CB6"/>
    <w:rsid w:val="6F322613"/>
    <w:rsid w:val="6F485B3A"/>
    <w:rsid w:val="6F537CC8"/>
    <w:rsid w:val="6F5940F5"/>
    <w:rsid w:val="6F5B3B07"/>
    <w:rsid w:val="6F6000F3"/>
    <w:rsid w:val="6F6D1E34"/>
    <w:rsid w:val="6F7A7501"/>
    <w:rsid w:val="6F813AAF"/>
    <w:rsid w:val="6F8249E0"/>
    <w:rsid w:val="6F8422F9"/>
    <w:rsid w:val="6FAB7D95"/>
    <w:rsid w:val="6FAD23B4"/>
    <w:rsid w:val="6FAD5E72"/>
    <w:rsid w:val="6FB9555A"/>
    <w:rsid w:val="6FBD7D61"/>
    <w:rsid w:val="6FC42EAB"/>
    <w:rsid w:val="6FD101F3"/>
    <w:rsid w:val="6FDE70E7"/>
    <w:rsid w:val="6FE54985"/>
    <w:rsid w:val="6FEC7554"/>
    <w:rsid w:val="6FF1283A"/>
    <w:rsid w:val="700D5DEC"/>
    <w:rsid w:val="70404539"/>
    <w:rsid w:val="70563262"/>
    <w:rsid w:val="705873A3"/>
    <w:rsid w:val="70726F06"/>
    <w:rsid w:val="708C46A0"/>
    <w:rsid w:val="709910D5"/>
    <w:rsid w:val="709C35CE"/>
    <w:rsid w:val="70B26D33"/>
    <w:rsid w:val="70B54946"/>
    <w:rsid w:val="70D216D3"/>
    <w:rsid w:val="70D9122B"/>
    <w:rsid w:val="70F63584"/>
    <w:rsid w:val="71013AC4"/>
    <w:rsid w:val="71116E10"/>
    <w:rsid w:val="711E75DA"/>
    <w:rsid w:val="71221C60"/>
    <w:rsid w:val="71306040"/>
    <w:rsid w:val="71534AAE"/>
    <w:rsid w:val="71550DBA"/>
    <w:rsid w:val="7158431A"/>
    <w:rsid w:val="71613AEC"/>
    <w:rsid w:val="716C54B9"/>
    <w:rsid w:val="717C638C"/>
    <w:rsid w:val="71896C8F"/>
    <w:rsid w:val="719B216D"/>
    <w:rsid w:val="71B330DD"/>
    <w:rsid w:val="71B752EE"/>
    <w:rsid w:val="71BE2769"/>
    <w:rsid w:val="71C66F16"/>
    <w:rsid w:val="71DB12A7"/>
    <w:rsid w:val="71E40223"/>
    <w:rsid w:val="71E70A22"/>
    <w:rsid w:val="7202262A"/>
    <w:rsid w:val="720860A3"/>
    <w:rsid w:val="72106F1F"/>
    <w:rsid w:val="721E7112"/>
    <w:rsid w:val="722D57C7"/>
    <w:rsid w:val="723423C2"/>
    <w:rsid w:val="724062B5"/>
    <w:rsid w:val="724A0704"/>
    <w:rsid w:val="724F46F0"/>
    <w:rsid w:val="7255143F"/>
    <w:rsid w:val="725D42D9"/>
    <w:rsid w:val="726436E6"/>
    <w:rsid w:val="72700C83"/>
    <w:rsid w:val="727E6483"/>
    <w:rsid w:val="72802E16"/>
    <w:rsid w:val="72843406"/>
    <w:rsid w:val="728453D5"/>
    <w:rsid w:val="72935827"/>
    <w:rsid w:val="729660C5"/>
    <w:rsid w:val="729B79DD"/>
    <w:rsid w:val="72AC0DAF"/>
    <w:rsid w:val="72BB1BA7"/>
    <w:rsid w:val="72C773DB"/>
    <w:rsid w:val="72D051AC"/>
    <w:rsid w:val="72D05F60"/>
    <w:rsid w:val="72EB3D62"/>
    <w:rsid w:val="72ED426C"/>
    <w:rsid w:val="72F91A90"/>
    <w:rsid w:val="731C314C"/>
    <w:rsid w:val="73237AF4"/>
    <w:rsid w:val="732927A3"/>
    <w:rsid w:val="734333B2"/>
    <w:rsid w:val="73666CF1"/>
    <w:rsid w:val="7383558F"/>
    <w:rsid w:val="738B5FB1"/>
    <w:rsid w:val="73B02110"/>
    <w:rsid w:val="73B55BEF"/>
    <w:rsid w:val="73CA3785"/>
    <w:rsid w:val="73CE0E30"/>
    <w:rsid w:val="73D82886"/>
    <w:rsid w:val="73E42131"/>
    <w:rsid w:val="73F95D4E"/>
    <w:rsid w:val="74044161"/>
    <w:rsid w:val="7412793E"/>
    <w:rsid w:val="74194164"/>
    <w:rsid w:val="741C0ACA"/>
    <w:rsid w:val="742B0327"/>
    <w:rsid w:val="742D6B25"/>
    <w:rsid w:val="744446C4"/>
    <w:rsid w:val="74524A6C"/>
    <w:rsid w:val="745C1A87"/>
    <w:rsid w:val="745D46B6"/>
    <w:rsid w:val="74674908"/>
    <w:rsid w:val="747E2170"/>
    <w:rsid w:val="74994FF2"/>
    <w:rsid w:val="74A93ADB"/>
    <w:rsid w:val="74AB764B"/>
    <w:rsid w:val="74B86703"/>
    <w:rsid w:val="74BA0C6B"/>
    <w:rsid w:val="74BB501E"/>
    <w:rsid w:val="74C25F4B"/>
    <w:rsid w:val="74EE31EA"/>
    <w:rsid w:val="74F039E8"/>
    <w:rsid w:val="74FA2880"/>
    <w:rsid w:val="750D20E7"/>
    <w:rsid w:val="75101C40"/>
    <w:rsid w:val="75223578"/>
    <w:rsid w:val="75225CBF"/>
    <w:rsid w:val="752E559B"/>
    <w:rsid w:val="75321B62"/>
    <w:rsid w:val="75350693"/>
    <w:rsid w:val="753B48E1"/>
    <w:rsid w:val="753D3667"/>
    <w:rsid w:val="7546677D"/>
    <w:rsid w:val="754B2AC0"/>
    <w:rsid w:val="754D466C"/>
    <w:rsid w:val="754F4CC4"/>
    <w:rsid w:val="7554600D"/>
    <w:rsid w:val="756338A7"/>
    <w:rsid w:val="756A69CE"/>
    <w:rsid w:val="756E0B0A"/>
    <w:rsid w:val="756F18B8"/>
    <w:rsid w:val="757031D9"/>
    <w:rsid w:val="7572083C"/>
    <w:rsid w:val="75734177"/>
    <w:rsid w:val="75806983"/>
    <w:rsid w:val="75814167"/>
    <w:rsid w:val="75842DFC"/>
    <w:rsid w:val="758C7D84"/>
    <w:rsid w:val="758E0290"/>
    <w:rsid w:val="75A667A1"/>
    <w:rsid w:val="75B9416A"/>
    <w:rsid w:val="75BE0722"/>
    <w:rsid w:val="75C247F2"/>
    <w:rsid w:val="75CC7278"/>
    <w:rsid w:val="75CD7BB5"/>
    <w:rsid w:val="75D833A4"/>
    <w:rsid w:val="75ED7C1C"/>
    <w:rsid w:val="75F1698E"/>
    <w:rsid w:val="760F39BF"/>
    <w:rsid w:val="7616334A"/>
    <w:rsid w:val="762A3224"/>
    <w:rsid w:val="762C54EE"/>
    <w:rsid w:val="76395565"/>
    <w:rsid w:val="763A2BB0"/>
    <w:rsid w:val="76437D02"/>
    <w:rsid w:val="76442B95"/>
    <w:rsid w:val="7648159B"/>
    <w:rsid w:val="765120A6"/>
    <w:rsid w:val="767F05D4"/>
    <w:rsid w:val="76A57736"/>
    <w:rsid w:val="76BF7D3D"/>
    <w:rsid w:val="76C52AEB"/>
    <w:rsid w:val="76D264D4"/>
    <w:rsid w:val="76D66A80"/>
    <w:rsid w:val="76E13C82"/>
    <w:rsid w:val="76E50934"/>
    <w:rsid w:val="76E955C3"/>
    <w:rsid w:val="76ED50F2"/>
    <w:rsid w:val="76F55C40"/>
    <w:rsid w:val="76FB26C3"/>
    <w:rsid w:val="76FD43AC"/>
    <w:rsid w:val="77123ACC"/>
    <w:rsid w:val="77247924"/>
    <w:rsid w:val="772B1B20"/>
    <w:rsid w:val="77406B01"/>
    <w:rsid w:val="77510935"/>
    <w:rsid w:val="77533C64"/>
    <w:rsid w:val="77545425"/>
    <w:rsid w:val="775550B6"/>
    <w:rsid w:val="77634F3B"/>
    <w:rsid w:val="77691105"/>
    <w:rsid w:val="778A3EDB"/>
    <w:rsid w:val="778E76B4"/>
    <w:rsid w:val="77CA2EEF"/>
    <w:rsid w:val="77D36332"/>
    <w:rsid w:val="77D62A56"/>
    <w:rsid w:val="77D75529"/>
    <w:rsid w:val="77E52DB0"/>
    <w:rsid w:val="77E62733"/>
    <w:rsid w:val="77F84B71"/>
    <w:rsid w:val="780E1955"/>
    <w:rsid w:val="781365ED"/>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2F4674"/>
    <w:rsid w:val="79306A60"/>
    <w:rsid w:val="79307089"/>
    <w:rsid w:val="79373219"/>
    <w:rsid w:val="794A4288"/>
    <w:rsid w:val="794C7980"/>
    <w:rsid w:val="7954036F"/>
    <w:rsid w:val="79607A1B"/>
    <w:rsid w:val="7963139E"/>
    <w:rsid w:val="796A36B4"/>
    <w:rsid w:val="796F2A8D"/>
    <w:rsid w:val="797A39DC"/>
    <w:rsid w:val="798B23A6"/>
    <w:rsid w:val="79A04DFD"/>
    <w:rsid w:val="79A300EC"/>
    <w:rsid w:val="79A86542"/>
    <w:rsid w:val="79BE5E62"/>
    <w:rsid w:val="79D00261"/>
    <w:rsid w:val="79D030E6"/>
    <w:rsid w:val="79D72059"/>
    <w:rsid w:val="79D8175C"/>
    <w:rsid w:val="79D917F7"/>
    <w:rsid w:val="79E34D47"/>
    <w:rsid w:val="79EC33C3"/>
    <w:rsid w:val="79ED081B"/>
    <w:rsid w:val="79FE3CA3"/>
    <w:rsid w:val="7A195421"/>
    <w:rsid w:val="7A1C1793"/>
    <w:rsid w:val="7A1C4DC7"/>
    <w:rsid w:val="7A317435"/>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B865C0"/>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13E82"/>
    <w:rsid w:val="7B745405"/>
    <w:rsid w:val="7B77505D"/>
    <w:rsid w:val="7B7E5E0A"/>
    <w:rsid w:val="7B89373C"/>
    <w:rsid w:val="7B8B54F1"/>
    <w:rsid w:val="7BCD7043"/>
    <w:rsid w:val="7BD947C0"/>
    <w:rsid w:val="7BDA2B39"/>
    <w:rsid w:val="7BE114B4"/>
    <w:rsid w:val="7C0A4F8F"/>
    <w:rsid w:val="7C274E7E"/>
    <w:rsid w:val="7C280E42"/>
    <w:rsid w:val="7C4A7F77"/>
    <w:rsid w:val="7C4F49BF"/>
    <w:rsid w:val="7C5F4699"/>
    <w:rsid w:val="7C6B5336"/>
    <w:rsid w:val="7C7F4F3C"/>
    <w:rsid w:val="7C8E405C"/>
    <w:rsid w:val="7C9C55B4"/>
    <w:rsid w:val="7CA544A2"/>
    <w:rsid w:val="7CA91615"/>
    <w:rsid w:val="7CAC6750"/>
    <w:rsid w:val="7CB347D7"/>
    <w:rsid w:val="7CCD67D7"/>
    <w:rsid w:val="7CDA09AD"/>
    <w:rsid w:val="7CDB518C"/>
    <w:rsid w:val="7CE21673"/>
    <w:rsid w:val="7CE2570E"/>
    <w:rsid w:val="7CF45745"/>
    <w:rsid w:val="7D0E3538"/>
    <w:rsid w:val="7D1E37D2"/>
    <w:rsid w:val="7D4033FD"/>
    <w:rsid w:val="7D4D5856"/>
    <w:rsid w:val="7D537A55"/>
    <w:rsid w:val="7D737A9C"/>
    <w:rsid w:val="7D8234F7"/>
    <w:rsid w:val="7DAA16F6"/>
    <w:rsid w:val="7DCA2855"/>
    <w:rsid w:val="7DE14EF9"/>
    <w:rsid w:val="7DEF3EAB"/>
    <w:rsid w:val="7E0E416B"/>
    <w:rsid w:val="7E183EEA"/>
    <w:rsid w:val="7E245663"/>
    <w:rsid w:val="7E413003"/>
    <w:rsid w:val="7E440B2B"/>
    <w:rsid w:val="7E4A22B2"/>
    <w:rsid w:val="7E4C02D3"/>
    <w:rsid w:val="7E4F61B6"/>
    <w:rsid w:val="7E5022F4"/>
    <w:rsid w:val="7E5747D4"/>
    <w:rsid w:val="7E651BA1"/>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F0A6F2E"/>
    <w:rsid w:val="7F103634"/>
    <w:rsid w:val="7F1E459D"/>
    <w:rsid w:val="7F21551C"/>
    <w:rsid w:val="7F251450"/>
    <w:rsid w:val="7F296027"/>
    <w:rsid w:val="7F36688A"/>
    <w:rsid w:val="7F381A47"/>
    <w:rsid w:val="7F3932D6"/>
    <w:rsid w:val="7F3B3199"/>
    <w:rsid w:val="7F3D07F6"/>
    <w:rsid w:val="7F40446B"/>
    <w:rsid w:val="7F4D23DA"/>
    <w:rsid w:val="7F610509"/>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99"/>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8">
    <w:name w:val="TAL Car"/>
    <w:basedOn w:val="32"/>
    <w:qFormat/>
    <w:uiPriority w:val="0"/>
    <w:rPr>
      <w:rFonts w:ascii="Arial" w:hAnsi="Arial" w:eastAsia="Times New Roman" w:cs="Times New Roman"/>
      <w:sz w:val="18"/>
      <w:szCs w:val="20"/>
      <w:lang w:val="en-US" w:eastAsia="en-US"/>
    </w:rPr>
  </w:style>
  <w:style w:type="character" w:customStyle="1" w:styleId="89">
    <w:name w:val="TAC Char"/>
    <w:basedOn w:val="32"/>
    <w:qFormat/>
    <w:uiPriority w:val="0"/>
    <w:rPr>
      <w:rFonts w:hint="default" w:ascii="Arial" w:hAnsi="Arial" w:eastAsia="Times New Roman" w:cs="Times New Roman"/>
      <w:sz w:val="18"/>
      <w:szCs w:val="20"/>
      <w:lang w:val="en-US" w:eastAsia="en-US"/>
    </w:rPr>
  </w:style>
  <w:style w:type="character" w:customStyle="1" w:styleId="90">
    <w:name w:val="TAH Car"/>
    <w:basedOn w:val="32"/>
    <w:qFormat/>
    <w:uiPriority w:val="0"/>
    <w:rPr>
      <w:rFonts w:hint="default" w:ascii="Arial" w:hAnsi="Arial" w:eastAsia="Times New Roman" w:cs="Times New Roman"/>
      <w:b/>
      <w:sz w:val="18"/>
      <w:szCs w:val="20"/>
      <w:lang w:val="en-US" w:eastAsia="en-US"/>
    </w:rPr>
  </w:style>
  <w:style w:type="character" w:customStyle="1" w:styleId="91">
    <w:name w:val="TAN Char"/>
    <w:basedOn w:val="32"/>
    <w:qFormat/>
    <w:uiPriority w:val="0"/>
    <w:rPr>
      <w:rFonts w:hint="default" w:ascii="Arial" w:hAnsi="Arial" w:eastAsia="Times New Roman" w:cs="Times New Roman"/>
      <w:sz w:val="18"/>
      <w:szCs w:val="20"/>
      <w:lang w:val="en-US" w:eastAsia="en-US"/>
    </w:rPr>
  </w:style>
  <w:style w:type="paragraph" w:customStyle="1" w:styleId="92">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DBFD-518C-4D3B-8B66-515BD99C8CE5}">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6</Pages>
  <Words>2316</Words>
  <Characters>13202</Characters>
  <Lines>110</Lines>
  <Paragraphs>30</Paragraphs>
  <TotalTime>0</TotalTime>
  <ScaleCrop>false</ScaleCrop>
  <LinksUpToDate>false</LinksUpToDate>
  <CharactersWithSpaces>15488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2025-08-15T12:17:32Z</dcterms:modified>
  <dc:subject>&lt;Title 1; Title 2&gt; (Release 14 | 13 |12)</dc:subject>
  <dc:title>3GPP TS ab.cde</dc:title>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